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117E" w:rsidRDefault="0095117E">
      <w:pPr>
        <w:spacing w:line="360" w:lineRule="auto"/>
        <w:ind w:firstLineChars="100" w:firstLine="301"/>
        <w:jc w:val="center"/>
        <w:textAlignment w:val="baseline"/>
        <w:rPr>
          <w:rFonts w:ascii="黑体" w:eastAsia="黑体" w:hAnsi="黑体"/>
          <w:b/>
          <w:color w:val="000000"/>
          <w:sz w:val="30"/>
          <w:szCs w:val="30"/>
          <w:lang w:eastAsia="zh-CN"/>
        </w:rPr>
      </w:pPr>
      <w:bookmarkStart w:id="0" w:name="_Toc491270436"/>
    </w:p>
    <w:p w:rsidR="0095117E" w:rsidRDefault="0095117E">
      <w:pPr>
        <w:widowControl w:val="0"/>
        <w:spacing w:after="0" w:line="360" w:lineRule="auto"/>
        <w:ind w:firstLine="435"/>
        <w:jc w:val="center"/>
        <w:rPr>
          <w:rFonts w:ascii="黑体" w:eastAsia="黑体" w:hAnsi="Times New Roman"/>
          <w:b/>
          <w:kern w:val="2"/>
          <w:sz w:val="32"/>
          <w:szCs w:val="32"/>
          <w:lang w:eastAsia="zh-CN" w:bidi="ar-SA"/>
        </w:rPr>
      </w:pPr>
    </w:p>
    <w:p w:rsidR="0095117E" w:rsidRDefault="0095117E">
      <w:pPr>
        <w:widowControl w:val="0"/>
        <w:spacing w:after="0" w:line="360" w:lineRule="auto"/>
        <w:ind w:firstLine="435"/>
        <w:jc w:val="center"/>
        <w:rPr>
          <w:rFonts w:ascii="黑体" w:eastAsia="黑体" w:hAnsi="Times New Roman"/>
          <w:b/>
          <w:kern w:val="2"/>
          <w:sz w:val="32"/>
          <w:szCs w:val="32"/>
          <w:lang w:eastAsia="zh-CN" w:bidi="ar-SA"/>
        </w:rPr>
      </w:pPr>
    </w:p>
    <w:p w:rsidR="0095117E" w:rsidRDefault="0095117E">
      <w:pPr>
        <w:widowControl w:val="0"/>
        <w:spacing w:after="0" w:line="360" w:lineRule="auto"/>
        <w:ind w:firstLine="435"/>
        <w:jc w:val="center"/>
        <w:rPr>
          <w:rFonts w:ascii="黑体" w:eastAsia="黑体" w:hAnsi="Times New Roman"/>
          <w:b/>
          <w:kern w:val="2"/>
          <w:sz w:val="32"/>
          <w:szCs w:val="32"/>
          <w:lang w:eastAsia="zh-CN" w:bidi="ar-SA"/>
        </w:rPr>
      </w:pPr>
    </w:p>
    <w:p w:rsidR="0095117E" w:rsidRDefault="0095117E">
      <w:pPr>
        <w:widowControl w:val="0"/>
        <w:spacing w:after="0" w:line="360" w:lineRule="auto"/>
        <w:ind w:firstLine="435"/>
        <w:jc w:val="center"/>
        <w:rPr>
          <w:rFonts w:ascii="黑体" w:eastAsia="黑体" w:hAnsi="Times New Roman"/>
          <w:b/>
          <w:kern w:val="2"/>
          <w:sz w:val="32"/>
          <w:szCs w:val="32"/>
          <w:lang w:eastAsia="zh-CN" w:bidi="ar-SA"/>
        </w:rPr>
      </w:pPr>
    </w:p>
    <w:p w:rsidR="0095117E" w:rsidRDefault="0095117E">
      <w:pPr>
        <w:widowControl w:val="0"/>
        <w:spacing w:after="0" w:line="360" w:lineRule="auto"/>
        <w:ind w:firstLine="435"/>
        <w:jc w:val="center"/>
        <w:rPr>
          <w:rFonts w:ascii="黑体" w:eastAsia="黑体" w:hAnsi="Times New Roman"/>
          <w:b/>
          <w:kern w:val="2"/>
          <w:sz w:val="32"/>
          <w:szCs w:val="32"/>
          <w:lang w:eastAsia="zh-CN" w:bidi="ar-SA"/>
        </w:rPr>
      </w:pPr>
    </w:p>
    <w:p w:rsidR="0095117E" w:rsidRDefault="0095117E">
      <w:pPr>
        <w:widowControl w:val="0"/>
        <w:spacing w:after="0" w:line="360" w:lineRule="auto"/>
        <w:ind w:firstLine="435"/>
        <w:jc w:val="center"/>
        <w:rPr>
          <w:rFonts w:ascii="黑体" w:eastAsia="黑体" w:hAnsi="Times New Roman"/>
          <w:b/>
          <w:kern w:val="2"/>
          <w:sz w:val="32"/>
          <w:szCs w:val="32"/>
          <w:lang w:eastAsia="zh-CN" w:bidi="ar-SA"/>
        </w:rPr>
      </w:pPr>
    </w:p>
    <w:p w:rsidR="0095117E" w:rsidRDefault="0095117E">
      <w:pPr>
        <w:widowControl w:val="0"/>
        <w:spacing w:after="0" w:line="360" w:lineRule="auto"/>
        <w:ind w:firstLine="435"/>
        <w:jc w:val="center"/>
        <w:rPr>
          <w:rFonts w:ascii="黑体" w:eastAsia="黑体" w:hAnsi="Times New Roman"/>
          <w:b/>
          <w:kern w:val="2"/>
          <w:sz w:val="32"/>
          <w:szCs w:val="32"/>
          <w:lang w:eastAsia="zh-CN" w:bidi="ar-SA"/>
        </w:rPr>
      </w:pPr>
    </w:p>
    <w:p w:rsidR="00DD5597" w:rsidRDefault="00EE0FB3">
      <w:pPr>
        <w:widowControl w:val="0"/>
        <w:spacing w:after="0" w:line="360" w:lineRule="auto"/>
        <w:ind w:firstLine="435"/>
        <w:jc w:val="center"/>
        <w:rPr>
          <w:rFonts w:ascii="黑体" w:eastAsia="黑体" w:hAnsi="Times New Roman" w:hint="eastAsia"/>
          <w:b/>
          <w:kern w:val="2"/>
          <w:sz w:val="32"/>
          <w:szCs w:val="32"/>
          <w:lang w:eastAsia="zh-CN" w:bidi="ar-SA"/>
        </w:rPr>
      </w:pPr>
      <w:r>
        <w:rPr>
          <w:rFonts w:ascii="黑体" w:eastAsia="黑体" w:hAnsi="Times New Roman" w:hint="eastAsia"/>
          <w:b/>
          <w:kern w:val="2"/>
          <w:sz w:val="32"/>
          <w:szCs w:val="32"/>
          <w:lang w:eastAsia="zh-CN" w:bidi="ar-SA"/>
        </w:rPr>
        <w:t>证券公司</w:t>
      </w:r>
      <w:r w:rsidR="00EB5038">
        <w:rPr>
          <w:rFonts w:ascii="黑体" w:eastAsia="黑体" w:hAnsi="Times New Roman" w:hint="eastAsia"/>
          <w:b/>
          <w:kern w:val="2"/>
          <w:sz w:val="32"/>
          <w:szCs w:val="32"/>
          <w:lang w:eastAsia="zh-CN" w:bidi="ar-SA"/>
        </w:rPr>
        <w:t>为恒泰期货股份有限公司提供</w:t>
      </w:r>
    </w:p>
    <w:p w:rsidR="0095117E" w:rsidRDefault="00EB5038">
      <w:pPr>
        <w:widowControl w:val="0"/>
        <w:spacing w:after="0" w:line="360" w:lineRule="auto"/>
        <w:ind w:firstLine="435"/>
        <w:jc w:val="center"/>
        <w:rPr>
          <w:rFonts w:ascii="黑体" w:eastAsia="黑体" w:hAnsi="Times New Roman"/>
          <w:b/>
          <w:kern w:val="2"/>
          <w:sz w:val="32"/>
          <w:szCs w:val="32"/>
          <w:lang w:eastAsia="zh-CN" w:bidi="ar-SA"/>
        </w:rPr>
        <w:sectPr w:rsidR="0095117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start="1"/>
          <w:cols w:space="720"/>
          <w:titlePg/>
          <w:docGrid w:type="lines" w:linePitch="326"/>
        </w:sectPr>
      </w:pPr>
      <w:r>
        <w:rPr>
          <w:rFonts w:ascii="黑体" w:eastAsia="黑体" w:hAnsi="Times New Roman" w:hint="eastAsia"/>
          <w:b/>
          <w:kern w:val="2"/>
          <w:sz w:val="32"/>
          <w:szCs w:val="32"/>
          <w:lang w:eastAsia="zh-CN" w:bidi="ar-SA"/>
        </w:rPr>
        <w:t>中间介绍业务开户管理细则</w:t>
      </w:r>
    </w:p>
    <w:p w:rsidR="0095117E" w:rsidRDefault="00EB5038">
      <w:pPr>
        <w:widowControl w:val="0"/>
        <w:spacing w:after="0" w:line="360" w:lineRule="auto"/>
        <w:ind w:firstLine="435"/>
        <w:jc w:val="center"/>
        <w:rPr>
          <w:rFonts w:ascii="黑体" w:eastAsia="黑体" w:hAnsi="Times New Roman"/>
          <w:b/>
          <w:kern w:val="2"/>
          <w:sz w:val="32"/>
          <w:szCs w:val="32"/>
          <w:lang w:eastAsia="zh-CN" w:bidi="ar-SA"/>
        </w:rPr>
      </w:pPr>
      <w:r>
        <w:rPr>
          <w:rFonts w:ascii="黑体" w:eastAsia="黑体" w:hAnsi="Times New Roman"/>
          <w:b/>
          <w:kern w:val="2"/>
          <w:sz w:val="32"/>
          <w:szCs w:val="32"/>
          <w:lang w:eastAsia="zh-CN" w:bidi="ar-SA"/>
        </w:rPr>
        <w:lastRenderedPageBreak/>
        <w:t>目录</w:t>
      </w:r>
    </w:p>
    <w:p w:rsidR="0095117E" w:rsidRDefault="00242F42">
      <w:pPr>
        <w:pStyle w:val="10"/>
        <w:tabs>
          <w:tab w:val="right" w:leader="dot" w:pos="8306"/>
        </w:tabs>
        <w:rPr>
          <w:rFonts w:ascii="宋体" w:eastAsia="宋体" w:hAnsi="宋体" w:cs="宋体"/>
          <w:sz w:val="21"/>
          <w:szCs w:val="21"/>
        </w:rPr>
      </w:pPr>
      <w:r>
        <w:rPr>
          <w:rFonts w:ascii="宋体" w:eastAsia="宋体" w:hAnsi="宋体" w:cs="宋体"/>
          <w:b w:val="0"/>
          <w:bCs w:val="0"/>
          <w:caps w:val="0"/>
          <w:sz w:val="21"/>
          <w:szCs w:val="21"/>
          <w:lang w:eastAsia="zh-CN"/>
        </w:rPr>
        <w:fldChar w:fldCharType="begin"/>
      </w:r>
      <w:r w:rsidR="00EB5038">
        <w:rPr>
          <w:rFonts w:ascii="宋体" w:eastAsia="宋体" w:hAnsi="宋体" w:cs="宋体"/>
          <w:sz w:val="21"/>
          <w:szCs w:val="21"/>
          <w:lang w:eastAsia="zh-CN"/>
        </w:rPr>
        <w:instrText xml:space="preserve"> TOC \o "1-2" \h \z \u </w:instrText>
      </w:r>
      <w:r>
        <w:rPr>
          <w:rFonts w:ascii="宋体" w:eastAsia="宋体" w:hAnsi="宋体" w:cs="宋体"/>
          <w:b w:val="0"/>
          <w:bCs w:val="0"/>
          <w:caps w:val="0"/>
          <w:sz w:val="21"/>
          <w:szCs w:val="21"/>
          <w:lang w:eastAsia="zh-CN"/>
        </w:rPr>
        <w:fldChar w:fldCharType="separate"/>
      </w:r>
      <w:hyperlink w:anchor="_Toc7228" w:history="1">
        <w:r w:rsidR="00EB5038">
          <w:rPr>
            <w:rFonts w:ascii="宋体" w:eastAsia="宋体" w:hAnsi="宋体" w:cs="宋体" w:hint="eastAsia"/>
            <w:bCs w:val="0"/>
            <w:caps w:val="0"/>
            <w:sz w:val="21"/>
            <w:szCs w:val="21"/>
            <w:lang w:eastAsia="zh-CN"/>
          </w:rPr>
          <w:t>第一章</w:t>
        </w:r>
        <w:r w:rsidR="00EB5038">
          <w:rPr>
            <w:rFonts w:ascii="宋体" w:eastAsia="宋体" w:hAnsi="宋体" w:cs="宋体"/>
            <w:bCs w:val="0"/>
            <w:caps w:val="0"/>
            <w:sz w:val="21"/>
            <w:szCs w:val="21"/>
            <w:lang w:eastAsia="zh-CN"/>
          </w:rPr>
          <w:t xml:space="preserve"> </w:t>
        </w:r>
        <w:r w:rsidR="00EB5038">
          <w:rPr>
            <w:rFonts w:ascii="宋体" w:eastAsia="宋体" w:hAnsi="宋体" w:cs="宋体" w:hint="eastAsia"/>
            <w:bCs w:val="0"/>
            <w:caps w:val="0"/>
            <w:sz w:val="21"/>
            <w:szCs w:val="21"/>
            <w:lang w:eastAsia="zh-CN"/>
          </w:rPr>
          <w:t>总则</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_Toc7228 </w:instrText>
        </w:r>
        <w:r>
          <w:rPr>
            <w:rFonts w:ascii="宋体" w:eastAsia="宋体" w:hAnsi="宋体" w:cs="宋体"/>
            <w:sz w:val="21"/>
            <w:szCs w:val="21"/>
          </w:rPr>
          <w:fldChar w:fldCharType="separate"/>
        </w:r>
        <w:r w:rsidR="00EB5038">
          <w:rPr>
            <w:rFonts w:ascii="宋体" w:eastAsia="宋体" w:hAnsi="宋体" w:cs="宋体"/>
            <w:sz w:val="21"/>
            <w:szCs w:val="21"/>
          </w:rPr>
          <w:t>- 2 -</w:t>
        </w:r>
        <w:r>
          <w:rPr>
            <w:rFonts w:ascii="宋体" w:eastAsia="宋体" w:hAnsi="宋体" w:cs="宋体"/>
            <w:sz w:val="21"/>
            <w:szCs w:val="21"/>
          </w:rPr>
          <w:fldChar w:fldCharType="end"/>
        </w:r>
      </w:hyperlink>
    </w:p>
    <w:p w:rsidR="0095117E" w:rsidRDefault="00242F42">
      <w:pPr>
        <w:pStyle w:val="10"/>
        <w:tabs>
          <w:tab w:val="right" w:leader="dot" w:pos="8306"/>
        </w:tabs>
        <w:rPr>
          <w:rFonts w:ascii="宋体" w:eastAsia="宋体" w:hAnsi="宋体" w:cs="宋体"/>
          <w:sz w:val="21"/>
          <w:szCs w:val="21"/>
        </w:rPr>
      </w:pPr>
      <w:hyperlink w:anchor="_Toc6470" w:history="1">
        <w:r w:rsidR="00EB5038">
          <w:rPr>
            <w:rFonts w:ascii="宋体" w:eastAsia="宋体" w:hAnsi="宋体" w:cs="宋体" w:hint="eastAsia"/>
            <w:sz w:val="21"/>
            <w:szCs w:val="21"/>
            <w:lang w:eastAsia="zh-CN"/>
          </w:rPr>
          <w:t>第二章</w:t>
        </w:r>
        <w:r w:rsidR="00EB5038">
          <w:rPr>
            <w:rFonts w:ascii="宋体" w:eastAsia="宋体" w:hAnsi="宋体" w:cs="宋体"/>
            <w:sz w:val="21"/>
            <w:szCs w:val="21"/>
            <w:lang w:eastAsia="zh-CN"/>
          </w:rPr>
          <w:t xml:space="preserve"> </w:t>
        </w:r>
        <w:r w:rsidR="00EB5038">
          <w:rPr>
            <w:rFonts w:ascii="宋体" w:eastAsia="宋体" w:hAnsi="宋体" w:cs="宋体" w:hint="eastAsia"/>
            <w:sz w:val="21"/>
            <w:szCs w:val="21"/>
            <w:lang w:eastAsia="zh-CN"/>
          </w:rPr>
          <w:t>投资者分类</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_Toc6470 </w:instrText>
        </w:r>
        <w:r>
          <w:rPr>
            <w:rFonts w:ascii="宋体" w:eastAsia="宋体" w:hAnsi="宋体" w:cs="宋体"/>
            <w:sz w:val="21"/>
            <w:szCs w:val="21"/>
          </w:rPr>
          <w:fldChar w:fldCharType="separate"/>
        </w:r>
        <w:r w:rsidR="00EB5038">
          <w:rPr>
            <w:rFonts w:ascii="宋体" w:eastAsia="宋体" w:hAnsi="宋体" w:cs="宋体"/>
            <w:sz w:val="21"/>
            <w:szCs w:val="21"/>
          </w:rPr>
          <w:t>- 2 -</w:t>
        </w:r>
        <w:r>
          <w:rPr>
            <w:rFonts w:ascii="宋体" w:eastAsia="宋体" w:hAnsi="宋体" w:cs="宋体"/>
            <w:sz w:val="21"/>
            <w:szCs w:val="21"/>
          </w:rPr>
          <w:fldChar w:fldCharType="end"/>
        </w:r>
      </w:hyperlink>
    </w:p>
    <w:p w:rsidR="0095117E" w:rsidRDefault="00242F42">
      <w:pPr>
        <w:pStyle w:val="10"/>
        <w:tabs>
          <w:tab w:val="right" w:leader="dot" w:pos="8306"/>
        </w:tabs>
        <w:rPr>
          <w:rFonts w:ascii="宋体" w:eastAsia="宋体" w:hAnsi="宋体" w:cs="宋体"/>
          <w:sz w:val="21"/>
          <w:szCs w:val="21"/>
          <w:lang w:eastAsia="zh-CN"/>
        </w:rPr>
      </w:pPr>
      <w:hyperlink w:anchor="_Toc29053" w:history="1">
        <w:r w:rsidR="00EB5038">
          <w:rPr>
            <w:rFonts w:ascii="宋体" w:eastAsia="宋体" w:hAnsi="宋体" w:cs="宋体" w:hint="eastAsia"/>
            <w:sz w:val="21"/>
            <w:szCs w:val="21"/>
          </w:rPr>
          <w:t>第三章</w:t>
        </w:r>
        <w:r w:rsidR="00EB5038">
          <w:rPr>
            <w:rFonts w:ascii="宋体" w:eastAsia="宋体" w:hAnsi="宋体" w:cs="宋体" w:hint="eastAsia"/>
            <w:sz w:val="21"/>
            <w:szCs w:val="21"/>
            <w:lang w:eastAsia="zh-CN"/>
          </w:rPr>
          <w:t xml:space="preserve"> </w:t>
        </w:r>
        <w:r w:rsidR="00EB5038">
          <w:rPr>
            <w:rFonts w:ascii="宋体" w:eastAsia="宋体" w:hAnsi="宋体" w:cs="宋体" w:hint="eastAsia"/>
            <w:sz w:val="21"/>
            <w:szCs w:val="21"/>
          </w:rPr>
          <w:t>投资者适当性评估</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_Toc29053 </w:instrText>
        </w:r>
        <w:r>
          <w:rPr>
            <w:rFonts w:ascii="宋体" w:eastAsia="宋体" w:hAnsi="宋体" w:cs="宋体"/>
            <w:sz w:val="21"/>
            <w:szCs w:val="21"/>
          </w:rPr>
          <w:fldChar w:fldCharType="separate"/>
        </w:r>
        <w:r w:rsidR="00EB5038">
          <w:rPr>
            <w:rFonts w:ascii="宋体" w:eastAsia="宋体" w:hAnsi="宋体" w:cs="宋体"/>
            <w:sz w:val="21"/>
            <w:szCs w:val="21"/>
          </w:rPr>
          <w:t>- 5 -</w:t>
        </w:r>
        <w:r>
          <w:rPr>
            <w:rFonts w:ascii="宋体" w:eastAsia="宋体" w:hAnsi="宋体" w:cs="宋体"/>
            <w:sz w:val="21"/>
            <w:szCs w:val="21"/>
          </w:rPr>
          <w:fldChar w:fldCharType="end"/>
        </w:r>
      </w:hyperlink>
    </w:p>
    <w:p w:rsidR="0095117E" w:rsidRDefault="00242F42">
      <w:pPr>
        <w:pStyle w:val="10"/>
        <w:tabs>
          <w:tab w:val="right" w:leader="dot" w:pos="8306"/>
        </w:tabs>
        <w:rPr>
          <w:rFonts w:ascii="宋体" w:eastAsia="宋体" w:hAnsi="宋体" w:cs="宋体"/>
          <w:sz w:val="21"/>
          <w:szCs w:val="21"/>
        </w:rPr>
      </w:pPr>
      <w:hyperlink w:anchor="_Toc32533" w:history="1">
        <w:r w:rsidR="00EB5038">
          <w:rPr>
            <w:rFonts w:ascii="宋体" w:eastAsia="宋体" w:hAnsi="宋体" w:cs="宋体" w:hint="eastAsia"/>
            <w:bCs w:val="0"/>
            <w:sz w:val="21"/>
            <w:szCs w:val="21"/>
            <w:lang w:eastAsia="zh-CN"/>
          </w:rPr>
          <w:t>第四章</w:t>
        </w:r>
        <w:r w:rsidR="00EB5038">
          <w:rPr>
            <w:rFonts w:ascii="宋体" w:eastAsia="宋体" w:hAnsi="宋体" w:cs="宋体"/>
            <w:bCs w:val="0"/>
            <w:sz w:val="21"/>
            <w:szCs w:val="21"/>
            <w:lang w:eastAsia="zh-CN"/>
          </w:rPr>
          <w:t xml:space="preserve"> </w:t>
        </w:r>
        <w:r w:rsidR="00EB5038">
          <w:rPr>
            <w:rFonts w:ascii="宋体" w:eastAsia="宋体" w:hAnsi="宋体" w:cs="宋体" w:hint="eastAsia"/>
            <w:bCs w:val="0"/>
            <w:sz w:val="21"/>
            <w:szCs w:val="21"/>
            <w:lang w:eastAsia="zh-CN"/>
          </w:rPr>
          <w:t>开户管理</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_Toc32533 </w:instrText>
        </w:r>
        <w:r>
          <w:rPr>
            <w:rFonts w:ascii="宋体" w:eastAsia="宋体" w:hAnsi="宋体" w:cs="宋体"/>
            <w:sz w:val="21"/>
            <w:szCs w:val="21"/>
          </w:rPr>
          <w:fldChar w:fldCharType="separate"/>
        </w:r>
        <w:r w:rsidR="00EB5038">
          <w:rPr>
            <w:rFonts w:ascii="宋体" w:eastAsia="宋体" w:hAnsi="宋体" w:cs="宋体"/>
            <w:sz w:val="21"/>
            <w:szCs w:val="21"/>
          </w:rPr>
          <w:t>- 8 -</w:t>
        </w:r>
        <w:r>
          <w:rPr>
            <w:rFonts w:ascii="宋体" w:eastAsia="宋体" w:hAnsi="宋体" w:cs="宋体"/>
            <w:sz w:val="21"/>
            <w:szCs w:val="21"/>
          </w:rPr>
          <w:fldChar w:fldCharType="end"/>
        </w:r>
      </w:hyperlink>
    </w:p>
    <w:p w:rsidR="0095117E" w:rsidRDefault="00242F42">
      <w:pPr>
        <w:pStyle w:val="21"/>
        <w:tabs>
          <w:tab w:val="right" w:leader="dot" w:pos="8306"/>
        </w:tabs>
        <w:ind w:left="480"/>
        <w:rPr>
          <w:rFonts w:ascii="宋体" w:eastAsia="宋体" w:hAnsi="宋体" w:cs="宋体"/>
          <w:sz w:val="21"/>
          <w:szCs w:val="21"/>
        </w:rPr>
      </w:pPr>
      <w:hyperlink w:anchor="_Toc15040" w:history="1">
        <w:r w:rsidR="00EB5038">
          <w:rPr>
            <w:rFonts w:ascii="宋体" w:eastAsia="宋体" w:hAnsi="宋体" w:cs="宋体" w:hint="eastAsia"/>
            <w:sz w:val="21"/>
            <w:szCs w:val="21"/>
            <w:lang w:eastAsia="zh-CN"/>
          </w:rPr>
          <w:t>第一节</w:t>
        </w:r>
        <w:r w:rsidR="00EB5038">
          <w:rPr>
            <w:rFonts w:ascii="宋体" w:eastAsia="宋体" w:hAnsi="宋体" w:cs="宋体"/>
            <w:sz w:val="21"/>
            <w:szCs w:val="21"/>
            <w:lang w:eastAsia="zh-CN"/>
          </w:rPr>
          <w:t xml:space="preserve"> </w:t>
        </w:r>
        <w:r w:rsidR="00EB5038">
          <w:rPr>
            <w:rFonts w:ascii="宋体" w:eastAsia="宋体" w:hAnsi="宋体" w:cs="宋体" w:hint="eastAsia"/>
            <w:sz w:val="21"/>
            <w:szCs w:val="21"/>
            <w:lang w:eastAsia="zh-CN"/>
          </w:rPr>
          <w:t>线下开户合同签署</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_Toc15040 </w:instrText>
        </w:r>
        <w:r>
          <w:rPr>
            <w:rFonts w:ascii="宋体" w:eastAsia="宋体" w:hAnsi="宋体" w:cs="宋体"/>
            <w:sz w:val="21"/>
            <w:szCs w:val="21"/>
          </w:rPr>
          <w:fldChar w:fldCharType="separate"/>
        </w:r>
        <w:r w:rsidR="00EB5038">
          <w:rPr>
            <w:rFonts w:ascii="宋体" w:eastAsia="宋体" w:hAnsi="宋体" w:cs="宋体"/>
            <w:sz w:val="21"/>
            <w:szCs w:val="21"/>
          </w:rPr>
          <w:t>- 8 -</w:t>
        </w:r>
        <w:r>
          <w:rPr>
            <w:rFonts w:ascii="宋体" w:eastAsia="宋体" w:hAnsi="宋体" w:cs="宋体"/>
            <w:sz w:val="21"/>
            <w:szCs w:val="21"/>
          </w:rPr>
          <w:fldChar w:fldCharType="end"/>
        </w:r>
      </w:hyperlink>
    </w:p>
    <w:p w:rsidR="0095117E" w:rsidRDefault="00242F42">
      <w:pPr>
        <w:pStyle w:val="21"/>
        <w:tabs>
          <w:tab w:val="right" w:leader="dot" w:pos="8306"/>
        </w:tabs>
        <w:ind w:left="480"/>
        <w:rPr>
          <w:rFonts w:ascii="宋体" w:eastAsia="宋体" w:hAnsi="宋体" w:cs="宋体"/>
          <w:sz w:val="21"/>
          <w:szCs w:val="21"/>
        </w:rPr>
      </w:pPr>
      <w:hyperlink w:anchor="_Toc29370" w:history="1">
        <w:r w:rsidR="00EB5038">
          <w:rPr>
            <w:rFonts w:ascii="宋体" w:eastAsia="宋体" w:hAnsi="宋体" w:cs="宋体" w:hint="eastAsia"/>
            <w:sz w:val="21"/>
            <w:szCs w:val="21"/>
            <w:lang w:eastAsia="zh-CN"/>
          </w:rPr>
          <w:t>第二节</w:t>
        </w:r>
        <w:r w:rsidR="00EB5038">
          <w:rPr>
            <w:rFonts w:ascii="宋体" w:eastAsia="宋体" w:hAnsi="宋体" w:cs="宋体"/>
            <w:sz w:val="21"/>
            <w:szCs w:val="21"/>
            <w:lang w:eastAsia="zh-CN"/>
          </w:rPr>
          <w:t xml:space="preserve"> </w:t>
        </w:r>
        <w:r w:rsidR="00EB5038">
          <w:rPr>
            <w:rFonts w:ascii="宋体" w:eastAsia="宋体" w:hAnsi="宋体" w:cs="宋体" w:hint="eastAsia"/>
            <w:sz w:val="21"/>
            <w:szCs w:val="21"/>
            <w:lang w:eastAsia="zh-CN"/>
          </w:rPr>
          <w:t>开户资料签署要求</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_Toc29370 </w:instrText>
        </w:r>
        <w:r>
          <w:rPr>
            <w:rFonts w:ascii="宋体" w:eastAsia="宋体" w:hAnsi="宋体" w:cs="宋体"/>
            <w:sz w:val="21"/>
            <w:szCs w:val="21"/>
          </w:rPr>
          <w:fldChar w:fldCharType="separate"/>
        </w:r>
        <w:r w:rsidR="00EB5038">
          <w:rPr>
            <w:rFonts w:ascii="宋体" w:eastAsia="宋体" w:hAnsi="宋体" w:cs="宋体"/>
            <w:sz w:val="21"/>
            <w:szCs w:val="21"/>
          </w:rPr>
          <w:t>- 9 -</w:t>
        </w:r>
        <w:r>
          <w:rPr>
            <w:rFonts w:ascii="宋体" w:eastAsia="宋体" w:hAnsi="宋体" w:cs="宋体"/>
            <w:sz w:val="21"/>
            <w:szCs w:val="21"/>
          </w:rPr>
          <w:fldChar w:fldCharType="end"/>
        </w:r>
      </w:hyperlink>
    </w:p>
    <w:p w:rsidR="0095117E" w:rsidRDefault="00242F42">
      <w:pPr>
        <w:pStyle w:val="21"/>
        <w:tabs>
          <w:tab w:val="right" w:leader="dot" w:pos="8306"/>
        </w:tabs>
        <w:ind w:left="480"/>
        <w:rPr>
          <w:rFonts w:ascii="宋体" w:eastAsia="宋体" w:hAnsi="宋体" w:cs="宋体"/>
          <w:sz w:val="21"/>
          <w:szCs w:val="21"/>
        </w:rPr>
      </w:pPr>
      <w:hyperlink w:anchor="_Toc1098" w:history="1">
        <w:r w:rsidR="00EB5038">
          <w:rPr>
            <w:rFonts w:ascii="宋体" w:eastAsia="宋体" w:hAnsi="宋体" w:cs="宋体" w:hint="eastAsia"/>
            <w:sz w:val="21"/>
            <w:szCs w:val="21"/>
            <w:lang w:eastAsia="zh-CN"/>
          </w:rPr>
          <w:t>第三节 影像资料留存</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_Toc1098 </w:instrText>
        </w:r>
        <w:r>
          <w:rPr>
            <w:rFonts w:ascii="宋体" w:eastAsia="宋体" w:hAnsi="宋体" w:cs="宋体"/>
            <w:sz w:val="21"/>
            <w:szCs w:val="21"/>
          </w:rPr>
          <w:fldChar w:fldCharType="separate"/>
        </w:r>
        <w:r w:rsidR="00EB5038">
          <w:rPr>
            <w:rFonts w:ascii="宋体" w:eastAsia="宋体" w:hAnsi="宋体" w:cs="宋体"/>
            <w:sz w:val="21"/>
            <w:szCs w:val="21"/>
          </w:rPr>
          <w:t>- 10 -</w:t>
        </w:r>
        <w:r>
          <w:rPr>
            <w:rFonts w:ascii="宋体" w:eastAsia="宋体" w:hAnsi="宋体" w:cs="宋体"/>
            <w:sz w:val="21"/>
            <w:szCs w:val="21"/>
          </w:rPr>
          <w:fldChar w:fldCharType="end"/>
        </w:r>
      </w:hyperlink>
    </w:p>
    <w:p w:rsidR="0095117E" w:rsidRDefault="00242F42">
      <w:pPr>
        <w:pStyle w:val="21"/>
        <w:tabs>
          <w:tab w:val="right" w:leader="dot" w:pos="8306"/>
        </w:tabs>
        <w:ind w:left="480"/>
        <w:rPr>
          <w:rFonts w:ascii="宋体" w:eastAsia="宋体" w:hAnsi="宋体" w:cs="宋体"/>
          <w:sz w:val="21"/>
          <w:szCs w:val="21"/>
        </w:rPr>
      </w:pPr>
      <w:hyperlink w:anchor="_Toc29653" w:history="1">
        <w:r w:rsidR="00EB5038">
          <w:rPr>
            <w:rFonts w:ascii="宋体" w:eastAsia="宋体" w:hAnsi="宋体" w:cs="宋体" w:hint="eastAsia"/>
            <w:sz w:val="21"/>
            <w:szCs w:val="21"/>
            <w:lang w:eastAsia="zh-CN"/>
          </w:rPr>
          <w:t>第四节</w:t>
        </w:r>
        <w:r w:rsidR="00EB5038">
          <w:rPr>
            <w:rFonts w:ascii="宋体" w:eastAsia="宋体" w:hAnsi="宋体" w:cs="宋体"/>
            <w:sz w:val="21"/>
            <w:szCs w:val="21"/>
            <w:lang w:eastAsia="zh-CN"/>
          </w:rPr>
          <w:t xml:space="preserve"> </w:t>
        </w:r>
        <w:r w:rsidR="00EB5038">
          <w:rPr>
            <w:rFonts w:ascii="宋体" w:eastAsia="宋体" w:hAnsi="宋体" w:cs="宋体" w:hint="eastAsia"/>
            <w:sz w:val="21"/>
            <w:szCs w:val="21"/>
            <w:lang w:eastAsia="zh-CN"/>
          </w:rPr>
          <w:t>客户信息录入</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_Toc29653 </w:instrText>
        </w:r>
        <w:r>
          <w:rPr>
            <w:rFonts w:ascii="宋体" w:eastAsia="宋体" w:hAnsi="宋体" w:cs="宋体"/>
            <w:sz w:val="21"/>
            <w:szCs w:val="21"/>
          </w:rPr>
          <w:fldChar w:fldCharType="separate"/>
        </w:r>
        <w:r w:rsidR="00EB5038">
          <w:rPr>
            <w:rFonts w:ascii="宋体" w:eastAsia="宋体" w:hAnsi="宋体" w:cs="宋体"/>
            <w:sz w:val="21"/>
            <w:szCs w:val="21"/>
          </w:rPr>
          <w:t>- 12 -</w:t>
        </w:r>
        <w:r>
          <w:rPr>
            <w:rFonts w:ascii="宋体" w:eastAsia="宋体" w:hAnsi="宋体" w:cs="宋体"/>
            <w:sz w:val="21"/>
            <w:szCs w:val="21"/>
          </w:rPr>
          <w:fldChar w:fldCharType="end"/>
        </w:r>
      </w:hyperlink>
    </w:p>
    <w:p w:rsidR="0095117E" w:rsidRDefault="00242F42">
      <w:pPr>
        <w:pStyle w:val="21"/>
        <w:tabs>
          <w:tab w:val="right" w:leader="dot" w:pos="8306"/>
        </w:tabs>
        <w:ind w:left="480"/>
        <w:rPr>
          <w:rFonts w:ascii="宋体" w:eastAsia="宋体" w:hAnsi="宋体" w:cs="宋体"/>
          <w:sz w:val="21"/>
          <w:szCs w:val="21"/>
        </w:rPr>
      </w:pPr>
      <w:hyperlink w:anchor="_Toc1652" w:history="1">
        <w:r w:rsidR="00EB5038">
          <w:rPr>
            <w:rFonts w:ascii="宋体" w:eastAsia="宋体" w:hAnsi="宋体" w:cs="宋体" w:hint="eastAsia"/>
            <w:sz w:val="21"/>
            <w:szCs w:val="21"/>
            <w:lang w:eastAsia="zh-CN"/>
          </w:rPr>
          <w:t>第五节</w:t>
        </w:r>
        <w:r w:rsidR="00EB5038">
          <w:rPr>
            <w:rFonts w:ascii="宋体" w:eastAsia="宋体" w:hAnsi="宋体" w:cs="宋体"/>
            <w:sz w:val="21"/>
            <w:szCs w:val="21"/>
            <w:lang w:eastAsia="zh-CN"/>
          </w:rPr>
          <w:t xml:space="preserve"> </w:t>
        </w:r>
        <w:r w:rsidR="00EB5038">
          <w:rPr>
            <w:rFonts w:ascii="宋体" w:eastAsia="宋体" w:hAnsi="宋体" w:cs="宋体" w:hint="eastAsia"/>
            <w:sz w:val="21"/>
            <w:szCs w:val="21"/>
            <w:lang w:eastAsia="zh-CN"/>
          </w:rPr>
          <w:t>合同传递</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_Toc1652 </w:instrText>
        </w:r>
        <w:r>
          <w:rPr>
            <w:rFonts w:ascii="宋体" w:eastAsia="宋体" w:hAnsi="宋体" w:cs="宋体"/>
            <w:sz w:val="21"/>
            <w:szCs w:val="21"/>
          </w:rPr>
          <w:fldChar w:fldCharType="separate"/>
        </w:r>
        <w:r w:rsidR="00EB5038">
          <w:rPr>
            <w:rFonts w:ascii="宋体" w:eastAsia="宋体" w:hAnsi="宋体" w:cs="宋体"/>
            <w:sz w:val="21"/>
            <w:szCs w:val="21"/>
          </w:rPr>
          <w:t>- 14 -</w:t>
        </w:r>
        <w:r>
          <w:rPr>
            <w:rFonts w:ascii="宋体" w:eastAsia="宋体" w:hAnsi="宋体" w:cs="宋体"/>
            <w:sz w:val="21"/>
            <w:szCs w:val="21"/>
          </w:rPr>
          <w:fldChar w:fldCharType="end"/>
        </w:r>
      </w:hyperlink>
    </w:p>
    <w:p w:rsidR="0095117E" w:rsidRDefault="00242F42">
      <w:pPr>
        <w:pStyle w:val="21"/>
        <w:tabs>
          <w:tab w:val="right" w:leader="dot" w:pos="8306"/>
        </w:tabs>
        <w:ind w:left="480"/>
        <w:rPr>
          <w:rFonts w:ascii="宋体" w:eastAsia="宋体" w:hAnsi="宋体" w:cs="宋体"/>
          <w:sz w:val="21"/>
          <w:szCs w:val="21"/>
        </w:rPr>
      </w:pPr>
      <w:hyperlink w:anchor="_Toc263" w:history="1">
        <w:r w:rsidR="00EB5038">
          <w:rPr>
            <w:rFonts w:ascii="宋体" w:eastAsia="宋体" w:hAnsi="宋体" w:cs="宋体" w:hint="eastAsia"/>
            <w:sz w:val="21"/>
            <w:szCs w:val="21"/>
            <w:lang w:eastAsia="zh-CN"/>
          </w:rPr>
          <w:t>第六节</w:t>
        </w:r>
        <w:r w:rsidR="00EB5038">
          <w:rPr>
            <w:rFonts w:ascii="宋体" w:eastAsia="宋体" w:hAnsi="宋体" w:cs="宋体"/>
            <w:sz w:val="21"/>
            <w:szCs w:val="21"/>
            <w:lang w:eastAsia="zh-CN"/>
          </w:rPr>
          <w:t xml:space="preserve"> </w:t>
        </w:r>
        <w:r w:rsidR="00EB5038">
          <w:rPr>
            <w:rFonts w:ascii="宋体" w:eastAsia="宋体" w:hAnsi="宋体" w:cs="宋体" w:hint="eastAsia"/>
            <w:sz w:val="21"/>
            <w:szCs w:val="21"/>
            <w:lang w:eastAsia="zh-CN"/>
          </w:rPr>
          <w:t>互联网开户流程</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_Toc263 </w:instrText>
        </w:r>
        <w:r>
          <w:rPr>
            <w:rFonts w:ascii="宋体" w:eastAsia="宋体" w:hAnsi="宋体" w:cs="宋体"/>
            <w:sz w:val="21"/>
            <w:szCs w:val="21"/>
          </w:rPr>
          <w:fldChar w:fldCharType="separate"/>
        </w:r>
        <w:r w:rsidR="00EB5038">
          <w:rPr>
            <w:rFonts w:ascii="宋体" w:eastAsia="宋体" w:hAnsi="宋体" w:cs="宋体"/>
            <w:sz w:val="21"/>
            <w:szCs w:val="21"/>
          </w:rPr>
          <w:t>- 14 -</w:t>
        </w:r>
        <w:r>
          <w:rPr>
            <w:rFonts w:ascii="宋体" w:eastAsia="宋体" w:hAnsi="宋体" w:cs="宋体"/>
            <w:sz w:val="21"/>
            <w:szCs w:val="21"/>
          </w:rPr>
          <w:fldChar w:fldCharType="end"/>
        </w:r>
      </w:hyperlink>
    </w:p>
    <w:p w:rsidR="00171EF1" w:rsidRDefault="00242F42" w:rsidP="00171EF1">
      <w:pPr>
        <w:pStyle w:val="21"/>
        <w:tabs>
          <w:tab w:val="right" w:leader="dot" w:pos="8306"/>
        </w:tabs>
        <w:ind w:left="480"/>
        <w:rPr>
          <w:rFonts w:ascii="宋体" w:eastAsia="宋体" w:hAnsi="宋体" w:cs="宋体"/>
          <w:sz w:val="21"/>
          <w:szCs w:val="21"/>
        </w:rPr>
      </w:pPr>
      <w:hyperlink w:anchor="_Toc14189" w:history="1">
        <w:r w:rsidR="00171EF1">
          <w:rPr>
            <w:rFonts w:ascii="宋体" w:eastAsia="宋体" w:hAnsi="宋体" w:cs="宋体" w:hint="eastAsia"/>
            <w:sz w:val="21"/>
            <w:szCs w:val="21"/>
            <w:lang w:eastAsia="zh-CN"/>
          </w:rPr>
          <w:t>第七节</w:t>
        </w:r>
        <w:r w:rsidR="00171EF1">
          <w:rPr>
            <w:rFonts w:ascii="宋体" w:eastAsia="宋体" w:hAnsi="宋体" w:cs="宋体"/>
            <w:sz w:val="21"/>
            <w:szCs w:val="21"/>
            <w:lang w:eastAsia="zh-CN"/>
          </w:rPr>
          <w:t xml:space="preserve"> </w:t>
        </w:r>
        <w:r w:rsidR="00EC7873">
          <w:rPr>
            <w:rFonts w:ascii="宋体" w:eastAsia="宋体" w:hAnsi="宋体" w:cs="宋体" w:hint="eastAsia"/>
            <w:sz w:val="21"/>
            <w:szCs w:val="21"/>
            <w:lang w:eastAsia="zh-CN"/>
          </w:rPr>
          <w:t>品种</w:t>
        </w:r>
        <w:r w:rsidR="00171EF1">
          <w:rPr>
            <w:rFonts w:ascii="宋体" w:eastAsia="宋体" w:hAnsi="宋体" w:cs="宋体" w:hint="eastAsia"/>
            <w:sz w:val="21"/>
            <w:szCs w:val="21"/>
            <w:lang w:eastAsia="zh-CN"/>
          </w:rPr>
          <w:t>投资者适当性评估</w:t>
        </w:r>
        <w:r w:rsidR="00171EF1">
          <w:rPr>
            <w:rFonts w:ascii="宋体" w:eastAsia="宋体" w:hAnsi="宋体" w:cs="宋体"/>
            <w:sz w:val="21"/>
            <w:szCs w:val="21"/>
          </w:rPr>
          <w:tab/>
        </w:r>
        <w:r>
          <w:rPr>
            <w:rFonts w:ascii="宋体" w:eastAsia="宋体" w:hAnsi="宋体" w:cs="宋体"/>
            <w:smallCaps w:val="0"/>
            <w:sz w:val="21"/>
            <w:szCs w:val="21"/>
          </w:rPr>
          <w:fldChar w:fldCharType="begin"/>
        </w:r>
        <w:r w:rsidR="00171EF1">
          <w:rPr>
            <w:rFonts w:ascii="宋体" w:eastAsia="宋体" w:hAnsi="宋体" w:cs="宋体"/>
            <w:sz w:val="21"/>
            <w:szCs w:val="21"/>
          </w:rPr>
          <w:instrText xml:space="preserve"> PAGEREF _Toc14189 </w:instrText>
        </w:r>
        <w:r>
          <w:rPr>
            <w:rFonts w:ascii="宋体" w:eastAsia="宋体" w:hAnsi="宋体" w:cs="宋体"/>
            <w:smallCaps w:val="0"/>
            <w:sz w:val="21"/>
            <w:szCs w:val="21"/>
          </w:rPr>
          <w:fldChar w:fldCharType="separate"/>
        </w:r>
        <w:r w:rsidR="00171EF1">
          <w:rPr>
            <w:rFonts w:ascii="宋体" w:eastAsia="宋体" w:hAnsi="宋体" w:cs="宋体"/>
            <w:sz w:val="21"/>
            <w:szCs w:val="21"/>
          </w:rPr>
          <w:t>- 17 -</w:t>
        </w:r>
        <w:r>
          <w:rPr>
            <w:rFonts w:ascii="宋体" w:eastAsia="宋体" w:hAnsi="宋体" w:cs="宋体"/>
            <w:smallCaps w:val="0"/>
            <w:sz w:val="21"/>
            <w:szCs w:val="21"/>
          </w:rPr>
          <w:fldChar w:fldCharType="end"/>
        </w:r>
      </w:hyperlink>
    </w:p>
    <w:p w:rsidR="00171EF1" w:rsidRDefault="00242F42" w:rsidP="00171EF1">
      <w:pPr>
        <w:pStyle w:val="21"/>
        <w:tabs>
          <w:tab w:val="right" w:leader="dot" w:pos="8306"/>
        </w:tabs>
        <w:ind w:left="480"/>
        <w:rPr>
          <w:rFonts w:ascii="宋体" w:eastAsia="宋体" w:hAnsi="宋体" w:cs="宋体"/>
          <w:sz w:val="21"/>
          <w:szCs w:val="21"/>
          <w:lang w:eastAsia="zh-CN"/>
        </w:rPr>
      </w:pPr>
      <w:hyperlink w:anchor="_Toc3815" w:history="1">
        <w:r w:rsidR="00EC7873">
          <w:rPr>
            <w:rFonts w:ascii="宋体" w:eastAsia="宋体" w:hAnsi="宋体" w:cs="宋体" w:hint="eastAsia"/>
            <w:sz w:val="21"/>
            <w:szCs w:val="21"/>
            <w:lang w:eastAsia="zh-CN"/>
          </w:rPr>
          <w:t>第八节 交易编码申请</w:t>
        </w:r>
        <w:r w:rsidR="00EC7873">
          <w:rPr>
            <w:rFonts w:ascii="宋体" w:eastAsia="宋体" w:hAnsi="宋体" w:cs="宋体"/>
            <w:sz w:val="21"/>
            <w:szCs w:val="21"/>
          </w:rPr>
          <w:tab/>
        </w:r>
        <w:r>
          <w:rPr>
            <w:rFonts w:ascii="宋体" w:eastAsia="宋体" w:hAnsi="宋体" w:cs="宋体"/>
            <w:sz w:val="21"/>
            <w:szCs w:val="21"/>
          </w:rPr>
          <w:fldChar w:fldCharType="begin"/>
        </w:r>
        <w:r w:rsidR="00EC7873">
          <w:rPr>
            <w:rFonts w:ascii="宋体" w:eastAsia="宋体" w:hAnsi="宋体" w:cs="宋体"/>
            <w:sz w:val="21"/>
            <w:szCs w:val="21"/>
          </w:rPr>
          <w:instrText xml:space="preserve"> PAGEREF _Toc3815 </w:instrText>
        </w:r>
        <w:r>
          <w:rPr>
            <w:rFonts w:ascii="宋体" w:eastAsia="宋体" w:hAnsi="宋体" w:cs="宋体"/>
            <w:sz w:val="21"/>
            <w:szCs w:val="21"/>
          </w:rPr>
          <w:fldChar w:fldCharType="separate"/>
        </w:r>
        <w:r w:rsidR="00EC7873">
          <w:rPr>
            <w:rFonts w:ascii="宋体" w:eastAsia="宋体" w:hAnsi="宋体" w:cs="宋体"/>
            <w:sz w:val="21"/>
            <w:szCs w:val="21"/>
          </w:rPr>
          <w:t>- 23 -</w:t>
        </w:r>
        <w:r>
          <w:rPr>
            <w:rFonts w:ascii="宋体" w:eastAsia="宋体" w:hAnsi="宋体" w:cs="宋体"/>
            <w:sz w:val="21"/>
            <w:szCs w:val="21"/>
          </w:rPr>
          <w:fldChar w:fldCharType="end"/>
        </w:r>
      </w:hyperlink>
    </w:p>
    <w:p w:rsidR="00171EF1" w:rsidRDefault="00242F42" w:rsidP="00171EF1">
      <w:pPr>
        <w:pStyle w:val="21"/>
        <w:tabs>
          <w:tab w:val="right" w:leader="dot" w:pos="8306"/>
        </w:tabs>
        <w:ind w:left="480"/>
        <w:rPr>
          <w:rFonts w:ascii="宋体" w:eastAsia="宋体" w:hAnsi="宋体" w:cs="宋体"/>
          <w:sz w:val="21"/>
          <w:szCs w:val="21"/>
        </w:rPr>
      </w:pPr>
      <w:hyperlink w:anchor="_Toc22537" w:history="1">
        <w:r w:rsidR="00EC7873">
          <w:rPr>
            <w:rFonts w:ascii="宋体" w:eastAsia="宋体" w:hAnsi="宋体" w:cs="宋体" w:hint="eastAsia"/>
            <w:sz w:val="21"/>
            <w:szCs w:val="21"/>
            <w:lang w:eastAsia="zh-CN"/>
          </w:rPr>
          <w:t>第九节 出入金流程</w:t>
        </w:r>
        <w:r w:rsidR="00EC7873">
          <w:rPr>
            <w:rFonts w:ascii="宋体" w:eastAsia="宋体" w:hAnsi="宋体" w:cs="宋体"/>
            <w:sz w:val="21"/>
            <w:szCs w:val="21"/>
          </w:rPr>
          <w:tab/>
        </w:r>
        <w:r>
          <w:rPr>
            <w:rFonts w:ascii="宋体" w:eastAsia="宋体" w:hAnsi="宋体" w:cs="宋体"/>
            <w:sz w:val="21"/>
            <w:szCs w:val="21"/>
          </w:rPr>
          <w:fldChar w:fldCharType="begin"/>
        </w:r>
        <w:r w:rsidR="00EC7873">
          <w:rPr>
            <w:rFonts w:ascii="宋体" w:eastAsia="宋体" w:hAnsi="宋体" w:cs="宋体"/>
            <w:sz w:val="21"/>
            <w:szCs w:val="21"/>
          </w:rPr>
          <w:instrText xml:space="preserve"> PAGEREF _Toc22537 </w:instrText>
        </w:r>
        <w:r>
          <w:rPr>
            <w:rFonts w:ascii="宋体" w:eastAsia="宋体" w:hAnsi="宋体" w:cs="宋体"/>
            <w:sz w:val="21"/>
            <w:szCs w:val="21"/>
          </w:rPr>
          <w:fldChar w:fldCharType="separate"/>
        </w:r>
        <w:r w:rsidR="00EC7873">
          <w:rPr>
            <w:rFonts w:ascii="宋体" w:eastAsia="宋体" w:hAnsi="宋体" w:cs="宋体"/>
            <w:sz w:val="21"/>
            <w:szCs w:val="21"/>
          </w:rPr>
          <w:t>- 23 -</w:t>
        </w:r>
        <w:r>
          <w:rPr>
            <w:rFonts w:ascii="宋体" w:eastAsia="宋体" w:hAnsi="宋体" w:cs="宋体"/>
            <w:sz w:val="21"/>
            <w:szCs w:val="21"/>
          </w:rPr>
          <w:fldChar w:fldCharType="end"/>
        </w:r>
      </w:hyperlink>
    </w:p>
    <w:p w:rsidR="0095117E" w:rsidRDefault="00242F42">
      <w:pPr>
        <w:pStyle w:val="10"/>
        <w:tabs>
          <w:tab w:val="right" w:leader="dot" w:pos="8306"/>
        </w:tabs>
        <w:rPr>
          <w:rFonts w:ascii="宋体" w:eastAsia="宋体" w:hAnsi="宋体" w:cs="宋体"/>
          <w:sz w:val="21"/>
          <w:szCs w:val="21"/>
        </w:rPr>
      </w:pPr>
      <w:hyperlink w:anchor="_Toc2736" w:history="1">
        <w:r w:rsidR="00EB5038">
          <w:rPr>
            <w:rFonts w:ascii="宋体" w:eastAsia="宋体" w:hAnsi="宋体" w:cs="宋体" w:hint="eastAsia"/>
            <w:sz w:val="21"/>
            <w:szCs w:val="21"/>
            <w:lang w:eastAsia="zh-CN"/>
          </w:rPr>
          <w:t>第五章</w:t>
        </w:r>
        <w:r w:rsidR="00EB5038">
          <w:rPr>
            <w:rFonts w:ascii="宋体" w:eastAsia="宋体" w:hAnsi="宋体" w:cs="宋体"/>
            <w:sz w:val="21"/>
            <w:szCs w:val="21"/>
            <w:lang w:eastAsia="zh-CN"/>
          </w:rPr>
          <w:t xml:space="preserve"> </w:t>
        </w:r>
        <w:r w:rsidR="00EB5038">
          <w:rPr>
            <w:rFonts w:ascii="宋体" w:eastAsia="宋体" w:hAnsi="宋体" w:cs="宋体" w:hint="eastAsia"/>
            <w:sz w:val="21"/>
            <w:szCs w:val="21"/>
            <w:lang w:eastAsia="zh-CN"/>
          </w:rPr>
          <w:t>客户回访</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_Toc2736 </w:instrText>
        </w:r>
        <w:r>
          <w:rPr>
            <w:rFonts w:ascii="宋体" w:eastAsia="宋体" w:hAnsi="宋体" w:cs="宋体"/>
            <w:sz w:val="21"/>
            <w:szCs w:val="21"/>
          </w:rPr>
          <w:fldChar w:fldCharType="separate"/>
        </w:r>
        <w:r w:rsidR="00EB5038">
          <w:rPr>
            <w:rFonts w:ascii="宋体" w:eastAsia="宋体" w:hAnsi="宋体" w:cs="宋体"/>
            <w:sz w:val="21"/>
            <w:szCs w:val="21"/>
          </w:rPr>
          <w:t>- 26 -</w:t>
        </w:r>
        <w:r>
          <w:rPr>
            <w:rFonts w:ascii="宋体" w:eastAsia="宋体" w:hAnsi="宋体" w:cs="宋体"/>
            <w:sz w:val="21"/>
            <w:szCs w:val="21"/>
          </w:rPr>
          <w:fldChar w:fldCharType="end"/>
        </w:r>
      </w:hyperlink>
    </w:p>
    <w:p w:rsidR="0095117E" w:rsidRDefault="00242F42">
      <w:pPr>
        <w:pStyle w:val="10"/>
        <w:tabs>
          <w:tab w:val="right" w:leader="dot" w:pos="8306"/>
        </w:tabs>
        <w:rPr>
          <w:rFonts w:ascii="宋体" w:eastAsia="宋体" w:hAnsi="宋体" w:cs="宋体"/>
          <w:sz w:val="21"/>
          <w:szCs w:val="21"/>
        </w:rPr>
      </w:pPr>
      <w:hyperlink w:anchor="_Toc19528" w:history="1">
        <w:r w:rsidR="00EB5038">
          <w:rPr>
            <w:rFonts w:ascii="宋体" w:eastAsia="宋体" w:hAnsi="宋体" w:cs="宋体" w:hint="eastAsia"/>
            <w:sz w:val="21"/>
            <w:szCs w:val="21"/>
            <w:lang w:eastAsia="zh-CN"/>
          </w:rPr>
          <w:t>第六章</w:t>
        </w:r>
        <w:r w:rsidR="00EB5038">
          <w:rPr>
            <w:rFonts w:ascii="宋体" w:eastAsia="宋体" w:hAnsi="宋体" w:cs="宋体"/>
            <w:sz w:val="21"/>
            <w:szCs w:val="21"/>
            <w:lang w:eastAsia="zh-CN"/>
          </w:rPr>
          <w:t xml:space="preserve"> </w:t>
        </w:r>
        <w:r w:rsidR="00EB5038">
          <w:rPr>
            <w:rFonts w:ascii="宋体" w:eastAsia="宋体" w:hAnsi="宋体" w:cs="宋体" w:hint="eastAsia"/>
            <w:sz w:val="21"/>
            <w:szCs w:val="21"/>
            <w:lang w:eastAsia="zh-CN"/>
          </w:rPr>
          <w:t>资料变更</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_Toc19528 </w:instrText>
        </w:r>
        <w:r>
          <w:rPr>
            <w:rFonts w:ascii="宋体" w:eastAsia="宋体" w:hAnsi="宋体" w:cs="宋体"/>
            <w:sz w:val="21"/>
            <w:szCs w:val="21"/>
          </w:rPr>
          <w:fldChar w:fldCharType="separate"/>
        </w:r>
        <w:r w:rsidR="00EB5038">
          <w:rPr>
            <w:rFonts w:ascii="宋体" w:eastAsia="宋体" w:hAnsi="宋体" w:cs="宋体"/>
            <w:sz w:val="21"/>
            <w:szCs w:val="21"/>
          </w:rPr>
          <w:t>- 27 -</w:t>
        </w:r>
        <w:r>
          <w:rPr>
            <w:rFonts w:ascii="宋体" w:eastAsia="宋体" w:hAnsi="宋体" w:cs="宋体"/>
            <w:sz w:val="21"/>
            <w:szCs w:val="21"/>
          </w:rPr>
          <w:fldChar w:fldCharType="end"/>
        </w:r>
      </w:hyperlink>
    </w:p>
    <w:p w:rsidR="0095117E" w:rsidRDefault="00242F42">
      <w:pPr>
        <w:pStyle w:val="21"/>
        <w:tabs>
          <w:tab w:val="right" w:leader="dot" w:pos="8306"/>
        </w:tabs>
        <w:ind w:left="480"/>
        <w:rPr>
          <w:rFonts w:ascii="宋体" w:eastAsia="宋体" w:hAnsi="宋体" w:cs="宋体"/>
          <w:sz w:val="21"/>
          <w:szCs w:val="21"/>
        </w:rPr>
      </w:pPr>
      <w:hyperlink w:anchor="_Toc3654" w:history="1">
        <w:r w:rsidR="00EB5038">
          <w:rPr>
            <w:rFonts w:ascii="宋体" w:eastAsia="宋体" w:hAnsi="宋体" w:cs="宋体" w:hint="eastAsia"/>
            <w:sz w:val="21"/>
            <w:szCs w:val="21"/>
            <w:lang w:eastAsia="zh-CN"/>
          </w:rPr>
          <w:t>第一节 开户信息变更</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_Toc3654 </w:instrText>
        </w:r>
        <w:r>
          <w:rPr>
            <w:rFonts w:ascii="宋体" w:eastAsia="宋体" w:hAnsi="宋体" w:cs="宋体"/>
            <w:sz w:val="21"/>
            <w:szCs w:val="21"/>
          </w:rPr>
          <w:fldChar w:fldCharType="separate"/>
        </w:r>
        <w:r w:rsidR="00EB5038">
          <w:rPr>
            <w:rFonts w:ascii="宋体" w:eastAsia="宋体" w:hAnsi="宋体" w:cs="宋体"/>
            <w:sz w:val="21"/>
            <w:szCs w:val="21"/>
          </w:rPr>
          <w:t>- 27 -</w:t>
        </w:r>
        <w:r>
          <w:rPr>
            <w:rFonts w:ascii="宋体" w:eastAsia="宋体" w:hAnsi="宋体" w:cs="宋体"/>
            <w:sz w:val="21"/>
            <w:szCs w:val="21"/>
          </w:rPr>
          <w:fldChar w:fldCharType="end"/>
        </w:r>
      </w:hyperlink>
    </w:p>
    <w:p w:rsidR="0095117E" w:rsidRDefault="00242F42">
      <w:pPr>
        <w:pStyle w:val="21"/>
        <w:tabs>
          <w:tab w:val="right" w:leader="dot" w:pos="8306"/>
        </w:tabs>
        <w:ind w:left="480"/>
        <w:rPr>
          <w:rFonts w:ascii="宋体" w:eastAsia="宋体" w:hAnsi="宋体" w:cs="宋体"/>
          <w:sz w:val="21"/>
          <w:szCs w:val="21"/>
        </w:rPr>
      </w:pPr>
      <w:hyperlink w:anchor="_Toc14762" w:history="1">
        <w:r w:rsidR="00EB5038">
          <w:rPr>
            <w:rFonts w:ascii="宋体" w:eastAsia="宋体" w:hAnsi="宋体" w:cs="宋体" w:hint="eastAsia"/>
            <w:sz w:val="21"/>
            <w:szCs w:val="21"/>
            <w:lang w:eastAsia="zh-CN"/>
          </w:rPr>
          <w:t>第二节 客户密码的重置</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_Toc14762 </w:instrText>
        </w:r>
        <w:r>
          <w:rPr>
            <w:rFonts w:ascii="宋体" w:eastAsia="宋体" w:hAnsi="宋体" w:cs="宋体"/>
            <w:sz w:val="21"/>
            <w:szCs w:val="21"/>
          </w:rPr>
          <w:fldChar w:fldCharType="separate"/>
        </w:r>
        <w:r w:rsidR="00EB5038">
          <w:rPr>
            <w:rFonts w:ascii="宋体" w:eastAsia="宋体" w:hAnsi="宋体" w:cs="宋体"/>
            <w:sz w:val="21"/>
            <w:szCs w:val="21"/>
          </w:rPr>
          <w:t>- 29 -</w:t>
        </w:r>
        <w:r>
          <w:rPr>
            <w:rFonts w:ascii="宋体" w:eastAsia="宋体" w:hAnsi="宋体" w:cs="宋体"/>
            <w:sz w:val="21"/>
            <w:szCs w:val="21"/>
          </w:rPr>
          <w:fldChar w:fldCharType="end"/>
        </w:r>
      </w:hyperlink>
    </w:p>
    <w:p w:rsidR="0095117E" w:rsidRDefault="00242F42">
      <w:pPr>
        <w:pStyle w:val="10"/>
        <w:tabs>
          <w:tab w:val="right" w:leader="dot" w:pos="8306"/>
        </w:tabs>
        <w:rPr>
          <w:rFonts w:ascii="宋体" w:eastAsia="宋体" w:hAnsi="宋体" w:cs="宋体"/>
          <w:sz w:val="21"/>
          <w:szCs w:val="21"/>
        </w:rPr>
      </w:pPr>
      <w:hyperlink w:anchor="_Toc4690" w:history="1">
        <w:r w:rsidR="00EB5038">
          <w:rPr>
            <w:rFonts w:ascii="宋体" w:eastAsia="宋体" w:hAnsi="宋体" w:cs="宋体" w:hint="eastAsia"/>
            <w:sz w:val="21"/>
            <w:szCs w:val="21"/>
            <w:lang w:eastAsia="zh-CN"/>
          </w:rPr>
          <w:t>第七章</w:t>
        </w:r>
        <w:r w:rsidR="00EB5038">
          <w:rPr>
            <w:rFonts w:ascii="宋体" w:eastAsia="宋体" w:hAnsi="宋体" w:cs="宋体"/>
            <w:sz w:val="21"/>
            <w:szCs w:val="21"/>
            <w:lang w:eastAsia="zh-CN"/>
          </w:rPr>
          <w:t xml:space="preserve"> </w:t>
        </w:r>
        <w:r w:rsidR="00EB5038">
          <w:rPr>
            <w:rFonts w:ascii="宋体" w:eastAsia="宋体" w:hAnsi="宋体" w:cs="宋体" w:hint="eastAsia"/>
            <w:sz w:val="21"/>
            <w:szCs w:val="21"/>
            <w:lang w:eastAsia="zh-CN"/>
          </w:rPr>
          <w:t>客户身份识别</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_Toc4690 </w:instrText>
        </w:r>
        <w:r>
          <w:rPr>
            <w:rFonts w:ascii="宋体" w:eastAsia="宋体" w:hAnsi="宋体" w:cs="宋体"/>
            <w:sz w:val="21"/>
            <w:szCs w:val="21"/>
          </w:rPr>
          <w:fldChar w:fldCharType="separate"/>
        </w:r>
        <w:r w:rsidR="00EB5038">
          <w:rPr>
            <w:rFonts w:ascii="宋体" w:eastAsia="宋体" w:hAnsi="宋体" w:cs="宋体"/>
            <w:sz w:val="21"/>
            <w:szCs w:val="21"/>
          </w:rPr>
          <w:t>- 29 -</w:t>
        </w:r>
        <w:r>
          <w:rPr>
            <w:rFonts w:ascii="宋体" w:eastAsia="宋体" w:hAnsi="宋体" w:cs="宋体"/>
            <w:sz w:val="21"/>
            <w:szCs w:val="21"/>
          </w:rPr>
          <w:fldChar w:fldCharType="end"/>
        </w:r>
      </w:hyperlink>
    </w:p>
    <w:p w:rsidR="0095117E" w:rsidRDefault="00242F42">
      <w:pPr>
        <w:pStyle w:val="10"/>
        <w:tabs>
          <w:tab w:val="right" w:leader="dot" w:pos="8306"/>
        </w:tabs>
        <w:rPr>
          <w:rFonts w:ascii="宋体" w:eastAsia="宋体" w:hAnsi="宋体" w:cs="宋体"/>
          <w:sz w:val="21"/>
          <w:szCs w:val="21"/>
        </w:rPr>
      </w:pPr>
      <w:hyperlink w:anchor="_Toc11025" w:history="1">
        <w:r w:rsidR="00EB5038">
          <w:rPr>
            <w:rFonts w:ascii="宋体" w:eastAsia="宋体" w:hAnsi="宋体" w:cs="宋体" w:hint="eastAsia"/>
            <w:sz w:val="21"/>
            <w:szCs w:val="21"/>
            <w:lang w:eastAsia="zh-CN"/>
          </w:rPr>
          <w:t>第八章</w:t>
        </w:r>
        <w:r w:rsidR="00EB5038">
          <w:rPr>
            <w:rFonts w:ascii="宋体" w:eastAsia="宋体" w:hAnsi="宋体" w:cs="宋体"/>
            <w:sz w:val="21"/>
            <w:szCs w:val="21"/>
            <w:lang w:eastAsia="zh-CN"/>
          </w:rPr>
          <w:t xml:space="preserve"> </w:t>
        </w:r>
        <w:r w:rsidR="00EB5038">
          <w:rPr>
            <w:rFonts w:ascii="宋体" w:eastAsia="宋体" w:hAnsi="宋体" w:cs="宋体" w:hint="eastAsia"/>
            <w:sz w:val="21"/>
            <w:szCs w:val="21"/>
            <w:lang w:eastAsia="zh-CN"/>
          </w:rPr>
          <w:t>其它业务申请</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_Toc11025 </w:instrText>
        </w:r>
        <w:r>
          <w:rPr>
            <w:rFonts w:ascii="宋体" w:eastAsia="宋体" w:hAnsi="宋体" w:cs="宋体"/>
            <w:sz w:val="21"/>
            <w:szCs w:val="21"/>
          </w:rPr>
          <w:fldChar w:fldCharType="separate"/>
        </w:r>
        <w:r w:rsidR="00EB5038">
          <w:rPr>
            <w:rFonts w:ascii="宋体" w:eastAsia="宋体" w:hAnsi="宋体" w:cs="宋体"/>
            <w:sz w:val="21"/>
            <w:szCs w:val="21"/>
          </w:rPr>
          <w:t>- 30 -</w:t>
        </w:r>
        <w:r>
          <w:rPr>
            <w:rFonts w:ascii="宋体" w:eastAsia="宋体" w:hAnsi="宋体" w:cs="宋体"/>
            <w:sz w:val="21"/>
            <w:szCs w:val="21"/>
          </w:rPr>
          <w:fldChar w:fldCharType="end"/>
        </w:r>
      </w:hyperlink>
    </w:p>
    <w:p w:rsidR="0095117E" w:rsidRDefault="00242F42">
      <w:pPr>
        <w:pStyle w:val="10"/>
        <w:tabs>
          <w:tab w:val="right" w:leader="dot" w:pos="8306"/>
        </w:tabs>
        <w:rPr>
          <w:rFonts w:ascii="宋体" w:eastAsia="宋体" w:hAnsi="宋体" w:cs="宋体"/>
          <w:sz w:val="21"/>
          <w:szCs w:val="21"/>
        </w:rPr>
      </w:pPr>
      <w:hyperlink w:anchor="_Toc7969" w:history="1">
        <w:r w:rsidR="00EB5038">
          <w:rPr>
            <w:rFonts w:ascii="宋体" w:eastAsia="宋体" w:hAnsi="宋体" w:cs="宋体" w:hint="eastAsia"/>
            <w:sz w:val="21"/>
            <w:szCs w:val="21"/>
            <w:lang w:eastAsia="zh-CN"/>
          </w:rPr>
          <w:t>第九章</w:t>
        </w:r>
        <w:r w:rsidR="00EB5038">
          <w:rPr>
            <w:rFonts w:ascii="宋体" w:eastAsia="宋体" w:hAnsi="宋体" w:cs="宋体"/>
            <w:sz w:val="21"/>
            <w:szCs w:val="21"/>
            <w:lang w:eastAsia="zh-CN"/>
          </w:rPr>
          <w:t xml:space="preserve"> </w:t>
        </w:r>
        <w:r w:rsidR="00EB5038">
          <w:rPr>
            <w:rFonts w:ascii="宋体" w:eastAsia="宋体" w:hAnsi="宋体" w:cs="宋体" w:hint="eastAsia"/>
            <w:sz w:val="21"/>
            <w:szCs w:val="21"/>
            <w:lang w:eastAsia="zh-CN"/>
          </w:rPr>
          <w:t>客户销户</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_Toc7969 </w:instrText>
        </w:r>
        <w:r>
          <w:rPr>
            <w:rFonts w:ascii="宋体" w:eastAsia="宋体" w:hAnsi="宋体" w:cs="宋体"/>
            <w:sz w:val="21"/>
            <w:szCs w:val="21"/>
          </w:rPr>
          <w:fldChar w:fldCharType="separate"/>
        </w:r>
        <w:r w:rsidR="00EB5038">
          <w:rPr>
            <w:rFonts w:ascii="宋体" w:eastAsia="宋体" w:hAnsi="宋体" w:cs="宋体"/>
            <w:sz w:val="21"/>
            <w:szCs w:val="21"/>
          </w:rPr>
          <w:t>- 30 -</w:t>
        </w:r>
        <w:r>
          <w:rPr>
            <w:rFonts w:ascii="宋体" w:eastAsia="宋体" w:hAnsi="宋体" w:cs="宋体"/>
            <w:sz w:val="21"/>
            <w:szCs w:val="21"/>
          </w:rPr>
          <w:fldChar w:fldCharType="end"/>
        </w:r>
      </w:hyperlink>
    </w:p>
    <w:p w:rsidR="0095117E" w:rsidRDefault="00242F42">
      <w:pPr>
        <w:pStyle w:val="10"/>
        <w:tabs>
          <w:tab w:val="right" w:leader="dot" w:pos="8306"/>
        </w:tabs>
        <w:rPr>
          <w:rFonts w:ascii="宋体" w:eastAsia="宋体" w:hAnsi="宋体" w:cs="宋体"/>
          <w:sz w:val="21"/>
          <w:szCs w:val="21"/>
        </w:rPr>
      </w:pPr>
      <w:hyperlink w:anchor="_Toc21694" w:history="1">
        <w:r w:rsidR="00EB5038">
          <w:rPr>
            <w:rFonts w:ascii="宋体" w:eastAsia="宋体" w:hAnsi="宋体" w:cs="宋体" w:hint="eastAsia"/>
            <w:sz w:val="21"/>
            <w:szCs w:val="21"/>
            <w:lang w:eastAsia="zh-CN"/>
          </w:rPr>
          <w:t>第十章</w:t>
        </w:r>
        <w:r w:rsidR="00EB5038">
          <w:rPr>
            <w:rFonts w:ascii="宋体" w:eastAsia="宋体" w:hAnsi="宋体" w:cs="宋体"/>
            <w:sz w:val="21"/>
            <w:szCs w:val="21"/>
            <w:lang w:eastAsia="zh-CN"/>
          </w:rPr>
          <w:t xml:space="preserve"> </w:t>
        </w:r>
        <w:r w:rsidR="00EB5038">
          <w:rPr>
            <w:rFonts w:ascii="宋体" w:eastAsia="宋体" w:hAnsi="宋体" w:cs="宋体" w:hint="eastAsia"/>
            <w:sz w:val="21"/>
            <w:szCs w:val="21"/>
            <w:lang w:eastAsia="zh-CN"/>
          </w:rPr>
          <w:t>档案管理</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_Toc21694 </w:instrText>
        </w:r>
        <w:r>
          <w:rPr>
            <w:rFonts w:ascii="宋体" w:eastAsia="宋体" w:hAnsi="宋体" w:cs="宋体"/>
            <w:sz w:val="21"/>
            <w:szCs w:val="21"/>
          </w:rPr>
          <w:fldChar w:fldCharType="separate"/>
        </w:r>
        <w:r w:rsidR="00EB5038">
          <w:rPr>
            <w:rFonts w:ascii="宋体" w:eastAsia="宋体" w:hAnsi="宋体" w:cs="宋体"/>
            <w:sz w:val="21"/>
            <w:szCs w:val="21"/>
          </w:rPr>
          <w:t>- 31 -</w:t>
        </w:r>
        <w:r>
          <w:rPr>
            <w:rFonts w:ascii="宋体" w:eastAsia="宋体" w:hAnsi="宋体" w:cs="宋体"/>
            <w:sz w:val="21"/>
            <w:szCs w:val="21"/>
          </w:rPr>
          <w:fldChar w:fldCharType="end"/>
        </w:r>
      </w:hyperlink>
    </w:p>
    <w:p w:rsidR="0095117E" w:rsidRDefault="00242F42">
      <w:pPr>
        <w:pStyle w:val="21"/>
        <w:tabs>
          <w:tab w:val="right" w:leader="dot" w:pos="8306"/>
        </w:tabs>
        <w:ind w:left="480"/>
        <w:rPr>
          <w:rFonts w:ascii="宋体" w:eastAsia="宋体" w:hAnsi="宋体" w:cs="宋体"/>
          <w:sz w:val="21"/>
          <w:szCs w:val="21"/>
        </w:rPr>
      </w:pPr>
      <w:hyperlink w:anchor="_Toc22638" w:history="1">
        <w:r w:rsidR="00EB5038">
          <w:rPr>
            <w:rFonts w:ascii="宋体" w:eastAsia="宋体" w:hAnsi="宋体" w:cs="宋体" w:hint="eastAsia"/>
            <w:sz w:val="21"/>
            <w:szCs w:val="21"/>
            <w:lang w:eastAsia="zh-CN"/>
          </w:rPr>
          <w:t>第一节 开户资料领用</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_Toc22638 </w:instrText>
        </w:r>
        <w:r>
          <w:rPr>
            <w:rFonts w:ascii="宋体" w:eastAsia="宋体" w:hAnsi="宋体" w:cs="宋体"/>
            <w:sz w:val="21"/>
            <w:szCs w:val="21"/>
          </w:rPr>
          <w:fldChar w:fldCharType="separate"/>
        </w:r>
        <w:r w:rsidR="00EB5038">
          <w:rPr>
            <w:rFonts w:ascii="宋体" w:eastAsia="宋体" w:hAnsi="宋体" w:cs="宋体"/>
            <w:sz w:val="21"/>
            <w:szCs w:val="21"/>
          </w:rPr>
          <w:t>- 32 -</w:t>
        </w:r>
        <w:r>
          <w:rPr>
            <w:rFonts w:ascii="宋体" w:eastAsia="宋体" w:hAnsi="宋体" w:cs="宋体"/>
            <w:sz w:val="21"/>
            <w:szCs w:val="21"/>
          </w:rPr>
          <w:fldChar w:fldCharType="end"/>
        </w:r>
      </w:hyperlink>
    </w:p>
    <w:p w:rsidR="0095117E" w:rsidRDefault="00242F42">
      <w:pPr>
        <w:pStyle w:val="21"/>
        <w:tabs>
          <w:tab w:val="right" w:leader="dot" w:pos="8306"/>
        </w:tabs>
        <w:ind w:left="480"/>
        <w:rPr>
          <w:rFonts w:ascii="宋体" w:eastAsia="宋体" w:hAnsi="宋体" w:cs="宋体"/>
          <w:sz w:val="21"/>
          <w:szCs w:val="21"/>
        </w:rPr>
      </w:pPr>
      <w:hyperlink w:anchor="_Toc4602" w:history="1">
        <w:r w:rsidR="00EB5038">
          <w:rPr>
            <w:rFonts w:ascii="宋体" w:eastAsia="宋体" w:hAnsi="宋体" w:cs="宋体" w:hint="eastAsia"/>
            <w:sz w:val="21"/>
            <w:szCs w:val="21"/>
            <w:lang w:eastAsia="zh-CN"/>
          </w:rPr>
          <w:t>第二节</w:t>
        </w:r>
        <w:r w:rsidR="00EB5038">
          <w:rPr>
            <w:rFonts w:ascii="宋体" w:eastAsia="宋体" w:hAnsi="宋体" w:cs="宋体"/>
            <w:sz w:val="21"/>
            <w:szCs w:val="21"/>
            <w:lang w:eastAsia="zh-CN"/>
          </w:rPr>
          <w:t xml:space="preserve"> </w:t>
        </w:r>
        <w:r w:rsidR="00EB5038">
          <w:rPr>
            <w:rFonts w:ascii="宋体" w:eastAsia="宋体" w:hAnsi="宋体" w:cs="宋体" w:hint="eastAsia"/>
            <w:sz w:val="21"/>
            <w:szCs w:val="21"/>
            <w:lang w:eastAsia="zh-CN"/>
          </w:rPr>
          <w:t>客户资料保管及调阅</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_Toc4602 </w:instrText>
        </w:r>
        <w:r>
          <w:rPr>
            <w:rFonts w:ascii="宋体" w:eastAsia="宋体" w:hAnsi="宋体" w:cs="宋体"/>
            <w:sz w:val="21"/>
            <w:szCs w:val="21"/>
          </w:rPr>
          <w:fldChar w:fldCharType="separate"/>
        </w:r>
        <w:r w:rsidR="00EB5038">
          <w:rPr>
            <w:rFonts w:ascii="宋体" w:eastAsia="宋体" w:hAnsi="宋体" w:cs="宋体"/>
            <w:sz w:val="21"/>
            <w:szCs w:val="21"/>
          </w:rPr>
          <w:t>- 32 -</w:t>
        </w:r>
        <w:r>
          <w:rPr>
            <w:rFonts w:ascii="宋体" w:eastAsia="宋体" w:hAnsi="宋体" w:cs="宋体"/>
            <w:sz w:val="21"/>
            <w:szCs w:val="21"/>
          </w:rPr>
          <w:fldChar w:fldCharType="end"/>
        </w:r>
      </w:hyperlink>
    </w:p>
    <w:p w:rsidR="0095117E" w:rsidRDefault="00242F42">
      <w:pPr>
        <w:pStyle w:val="10"/>
        <w:tabs>
          <w:tab w:val="right" w:leader="dot" w:pos="8306"/>
        </w:tabs>
        <w:rPr>
          <w:rFonts w:ascii="宋体" w:eastAsia="宋体" w:hAnsi="宋体" w:cs="宋体"/>
          <w:sz w:val="21"/>
          <w:szCs w:val="21"/>
        </w:rPr>
      </w:pPr>
      <w:hyperlink w:anchor="_Toc16627" w:history="1">
        <w:r w:rsidR="00EB5038">
          <w:rPr>
            <w:rFonts w:ascii="宋体" w:eastAsia="宋体" w:hAnsi="宋体" w:cs="宋体" w:hint="eastAsia"/>
            <w:sz w:val="21"/>
            <w:szCs w:val="21"/>
            <w:lang w:eastAsia="zh-CN"/>
          </w:rPr>
          <w:t>第十一章</w:t>
        </w:r>
        <w:r w:rsidR="00EB5038">
          <w:rPr>
            <w:rFonts w:ascii="宋体" w:eastAsia="宋体" w:hAnsi="宋体" w:cs="宋体"/>
            <w:sz w:val="21"/>
            <w:szCs w:val="21"/>
            <w:lang w:eastAsia="zh-CN"/>
          </w:rPr>
          <w:t xml:space="preserve"> </w:t>
        </w:r>
        <w:r w:rsidR="00EB5038">
          <w:rPr>
            <w:rFonts w:ascii="宋体" w:eastAsia="宋体" w:hAnsi="宋体" w:cs="宋体" w:hint="eastAsia"/>
            <w:sz w:val="21"/>
            <w:szCs w:val="21"/>
            <w:lang w:eastAsia="zh-CN"/>
          </w:rPr>
          <w:t>附则</w:t>
        </w:r>
        <w:r w:rsidR="00EB5038">
          <w:rPr>
            <w:rFonts w:ascii="宋体" w:eastAsia="宋体" w:hAnsi="宋体" w:cs="宋体"/>
            <w:sz w:val="21"/>
            <w:szCs w:val="21"/>
          </w:rPr>
          <w:tab/>
        </w:r>
        <w:r>
          <w:rPr>
            <w:rFonts w:ascii="宋体" w:eastAsia="宋体" w:hAnsi="宋体" w:cs="宋体"/>
            <w:sz w:val="21"/>
            <w:szCs w:val="21"/>
          </w:rPr>
          <w:fldChar w:fldCharType="begin"/>
        </w:r>
        <w:r w:rsidR="00EB5038">
          <w:rPr>
            <w:rFonts w:ascii="宋体" w:eastAsia="宋体" w:hAnsi="宋体" w:cs="宋体"/>
            <w:sz w:val="21"/>
            <w:szCs w:val="21"/>
          </w:rPr>
          <w:instrText xml:space="preserve"> PAGEREF _Toc16627 </w:instrText>
        </w:r>
        <w:r>
          <w:rPr>
            <w:rFonts w:ascii="宋体" w:eastAsia="宋体" w:hAnsi="宋体" w:cs="宋体"/>
            <w:sz w:val="21"/>
            <w:szCs w:val="21"/>
          </w:rPr>
          <w:fldChar w:fldCharType="separate"/>
        </w:r>
        <w:r w:rsidR="00EB5038">
          <w:rPr>
            <w:rFonts w:ascii="宋体" w:eastAsia="宋体" w:hAnsi="宋体" w:cs="宋体"/>
            <w:sz w:val="21"/>
            <w:szCs w:val="21"/>
          </w:rPr>
          <w:t>- 35 -</w:t>
        </w:r>
        <w:r>
          <w:rPr>
            <w:rFonts w:ascii="宋体" w:eastAsia="宋体" w:hAnsi="宋体" w:cs="宋体"/>
            <w:sz w:val="21"/>
            <w:szCs w:val="21"/>
          </w:rPr>
          <w:fldChar w:fldCharType="end"/>
        </w:r>
      </w:hyperlink>
    </w:p>
    <w:p w:rsidR="0095117E" w:rsidRDefault="00242F42">
      <w:pPr>
        <w:pStyle w:val="10"/>
        <w:outlineLvl w:val="0"/>
        <w:rPr>
          <w:rFonts w:ascii="宋体" w:eastAsia="宋体" w:hAnsi="宋体" w:cs="宋体"/>
          <w:b w:val="0"/>
          <w:bCs w:val="0"/>
          <w:caps w:val="0"/>
          <w:sz w:val="21"/>
          <w:szCs w:val="21"/>
          <w:lang w:eastAsia="zh-CN"/>
        </w:rPr>
      </w:pPr>
      <w:r>
        <w:rPr>
          <w:rFonts w:ascii="宋体" w:eastAsia="宋体" w:hAnsi="宋体" w:cs="宋体"/>
          <w:b w:val="0"/>
          <w:bCs w:val="0"/>
          <w:caps w:val="0"/>
          <w:sz w:val="21"/>
          <w:szCs w:val="21"/>
          <w:lang w:eastAsia="zh-CN"/>
        </w:rPr>
        <w:fldChar w:fldCharType="end"/>
      </w:r>
    </w:p>
    <w:p w:rsidR="0095117E" w:rsidRDefault="0095117E" w:rsidP="00DD5597">
      <w:pPr>
        <w:spacing w:beforeLines="50" w:afterLines="50" w:line="360" w:lineRule="auto"/>
        <w:jc w:val="both"/>
        <w:textAlignment w:val="baseline"/>
        <w:outlineLvl w:val="0"/>
        <w:rPr>
          <w:rFonts w:ascii="仿宋" w:eastAsia="仿宋" w:hAnsi="仿宋"/>
          <w:b/>
          <w:color w:val="000000"/>
          <w:szCs w:val="24"/>
          <w:lang w:eastAsia="zh-CN"/>
        </w:rPr>
      </w:pPr>
      <w:bookmarkStart w:id="1" w:name="_Toc14569"/>
      <w:bookmarkStart w:id="2" w:name="_Toc4876"/>
      <w:bookmarkStart w:id="3" w:name="_Toc7228"/>
      <w:bookmarkStart w:id="4" w:name="_Toc18353"/>
      <w:bookmarkStart w:id="5" w:name="_Toc308173961"/>
      <w:bookmarkStart w:id="6" w:name="_Toc492286257"/>
      <w:bookmarkStart w:id="7" w:name="_Toc13833"/>
      <w:bookmarkStart w:id="8" w:name="_Toc492286292"/>
      <w:bookmarkStart w:id="9" w:name="_Toc3449"/>
      <w:bookmarkStart w:id="10" w:name="_Toc302735370"/>
      <w:bookmarkStart w:id="11" w:name="_Toc27242"/>
    </w:p>
    <w:p w:rsidR="00000000" w:rsidRDefault="00E07BD1" w:rsidP="00DD5597">
      <w:pPr>
        <w:widowControl w:val="0"/>
        <w:spacing w:beforeLines="50" w:afterLines="50" w:line="360" w:lineRule="auto"/>
        <w:jc w:val="center"/>
        <w:rPr>
          <w:rFonts w:ascii="仿宋" w:eastAsia="仿宋" w:hAnsi="仿宋"/>
          <w:b/>
          <w:kern w:val="2"/>
          <w:szCs w:val="24"/>
          <w:lang w:eastAsia="zh-CN" w:bidi="ar-SA"/>
        </w:rPr>
      </w:pPr>
    </w:p>
    <w:p w:rsidR="00000000" w:rsidRDefault="00E07BD1" w:rsidP="00DD5597">
      <w:pPr>
        <w:widowControl w:val="0"/>
        <w:spacing w:beforeLines="50" w:afterLines="50" w:line="360" w:lineRule="auto"/>
        <w:jc w:val="center"/>
        <w:rPr>
          <w:rFonts w:ascii="仿宋" w:eastAsia="仿宋" w:hAnsi="仿宋"/>
          <w:b/>
          <w:kern w:val="2"/>
          <w:szCs w:val="24"/>
          <w:lang w:eastAsia="zh-CN" w:bidi="ar-SA"/>
        </w:rPr>
      </w:pPr>
    </w:p>
    <w:p w:rsidR="00000000" w:rsidRDefault="00EB5038" w:rsidP="00DD5597">
      <w:pPr>
        <w:widowControl w:val="0"/>
        <w:spacing w:beforeLines="50" w:afterLines="50" w:line="360" w:lineRule="auto"/>
        <w:jc w:val="center"/>
        <w:rPr>
          <w:rFonts w:ascii="仿宋" w:eastAsia="仿宋" w:hAnsi="仿宋"/>
          <w:b/>
          <w:kern w:val="2"/>
          <w:szCs w:val="24"/>
          <w:lang w:eastAsia="zh-CN" w:bidi="ar-SA"/>
        </w:rPr>
      </w:pPr>
      <w:r>
        <w:rPr>
          <w:rFonts w:ascii="仿宋" w:eastAsia="仿宋" w:hAnsi="仿宋" w:hint="eastAsia"/>
          <w:b/>
          <w:kern w:val="2"/>
          <w:szCs w:val="24"/>
          <w:lang w:eastAsia="zh-CN" w:bidi="ar-SA"/>
        </w:rPr>
        <w:lastRenderedPageBreak/>
        <w:t>第一章 总则</w:t>
      </w:r>
      <w:bookmarkEnd w:id="0"/>
      <w:bookmarkEnd w:id="1"/>
      <w:bookmarkEnd w:id="2"/>
      <w:bookmarkEnd w:id="3"/>
      <w:bookmarkEnd w:id="4"/>
      <w:bookmarkEnd w:id="5"/>
      <w:bookmarkEnd w:id="6"/>
      <w:bookmarkEnd w:id="7"/>
      <w:bookmarkEnd w:id="8"/>
      <w:bookmarkEnd w:id="9"/>
      <w:bookmarkEnd w:id="10"/>
      <w:bookmarkEnd w:id="11"/>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 xml:space="preserve"> 为规范</w:t>
      </w:r>
      <w:r w:rsidR="00EE0FB3">
        <w:rPr>
          <w:rFonts w:ascii="仿宋" w:eastAsia="仿宋" w:hAnsi="仿宋" w:hint="eastAsia"/>
          <w:bCs/>
          <w:kern w:val="2"/>
          <w:szCs w:val="24"/>
          <w:lang w:eastAsia="zh-CN" w:bidi="ar-SA"/>
        </w:rPr>
        <w:t>证券公司</w:t>
      </w:r>
      <w:r>
        <w:rPr>
          <w:rFonts w:ascii="仿宋" w:eastAsia="仿宋" w:hAnsi="仿宋" w:hint="eastAsia"/>
          <w:bCs/>
          <w:kern w:val="2"/>
          <w:szCs w:val="24"/>
          <w:lang w:eastAsia="zh-CN" w:bidi="ar-SA"/>
        </w:rPr>
        <w:t>为恒泰期货股份有限公司（以下简称“恒泰期货”）提供中间介绍业务（以下简称“</w:t>
      </w:r>
      <w:r>
        <w:rPr>
          <w:rFonts w:ascii="仿宋" w:eastAsia="仿宋" w:hAnsi="仿宋"/>
          <w:bCs/>
          <w:kern w:val="2"/>
          <w:szCs w:val="24"/>
          <w:lang w:eastAsia="zh-CN" w:bidi="ar-SA"/>
        </w:rPr>
        <w:t>IB业务</w:t>
      </w:r>
      <w:r>
        <w:rPr>
          <w:rFonts w:ascii="仿宋" w:eastAsia="仿宋" w:hAnsi="仿宋" w:hint="eastAsia"/>
          <w:bCs/>
          <w:kern w:val="2"/>
          <w:szCs w:val="24"/>
          <w:lang w:eastAsia="zh-CN" w:bidi="ar-SA"/>
        </w:rPr>
        <w:t>”</w:t>
      </w:r>
      <w:r>
        <w:rPr>
          <w:rFonts w:ascii="仿宋" w:eastAsia="仿宋" w:hAnsi="仿宋"/>
          <w:bCs/>
          <w:kern w:val="2"/>
          <w:szCs w:val="24"/>
          <w:lang w:eastAsia="zh-CN" w:bidi="ar-SA"/>
        </w:rPr>
        <w:t>）的开户业务，维护期货市场平</w:t>
      </w:r>
      <w:r>
        <w:rPr>
          <w:rFonts w:ascii="仿宋" w:eastAsia="仿宋" w:hAnsi="仿宋" w:hint="eastAsia"/>
          <w:bCs/>
          <w:kern w:val="2"/>
          <w:szCs w:val="24"/>
          <w:lang w:eastAsia="zh-CN" w:bidi="ar-SA"/>
        </w:rPr>
        <w:t>稳、规范、健康运行，防范风险、保护投资者的合法权益，根据《期货交易管理条例》、《期货公司监督管理办法》、《证券公司为期货公司提供中间介绍业务试行办法》、《证券期货投资者适当性管理办法》等相关法律法规及《</w:t>
      </w:r>
      <w:r w:rsidR="00EE0FB3">
        <w:rPr>
          <w:rFonts w:ascii="仿宋" w:eastAsia="仿宋" w:hAnsi="仿宋" w:hint="eastAsia"/>
          <w:bCs/>
          <w:kern w:val="2"/>
          <w:szCs w:val="24"/>
          <w:lang w:eastAsia="zh-CN" w:bidi="ar-SA"/>
        </w:rPr>
        <w:t>证券公司</w:t>
      </w:r>
      <w:r>
        <w:rPr>
          <w:rFonts w:ascii="仿宋" w:eastAsia="仿宋" w:hAnsi="仿宋" w:hint="eastAsia"/>
          <w:bCs/>
          <w:kern w:val="2"/>
          <w:szCs w:val="24"/>
          <w:lang w:eastAsia="zh-CN" w:bidi="ar-SA"/>
        </w:rPr>
        <w:t>为恒泰期货有限公司提供中间介绍业务联合实施办法》，结合公司实际情况，制定本细则。</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 xml:space="preserve"> </w:t>
      </w:r>
      <w:r w:rsidR="00EE0FB3">
        <w:rPr>
          <w:rFonts w:ascii="仿宋" w:eastAsia="仿宋" w:hAnsi="仿宋" w:hint="eastAsia"/>
          <w:bCs/>
          <w:kern w:val="2"/>
          <w:szCs w:val="24"/>
          <w:lang w:eastAsia="zh-CN" w:bidi="ar-SA"/>
        </w:rPr>
        <w:t>证券公司</w:t>
      </w:r>
      <w:r>
        <w:rPr>
          <w:rFonts w:ascii="仿宋" w:eastAsia="仿宋" w:hAnsi="仿宋" w:hint="eastAsia"/>
          <w:bCs/>
          <w:kern w:val="2"/>
          <w:szCs w:val="24"/>
          <w:lang w:eastAsia="zh-CN" w:bidi="ar-SA"/>
        </w:rPr>
        <w:t>IB营业部（以下简称“IB营业部”）协助开立期货账户，应当对客户资料真实性、一致性、完整性、合规性进行审核。</w:t>
      </w:r>
    </w:p>
    <w:p w:rsidR="00000000" w:rsidRDefault="00EB5038" w:rsidP="00DD5597">
      <w:pPr>
        <w:widowControl w:val="0"/>
        <w:spacing w:beforeLines="50" w:afterLines="50" w:line="360" w:lineRule="auto"/>
        <w:jc w:val="center"/>
        <w:rPr>
          <w:rFonts w:ascii="仿宋" w:eastAsia="仿宋" w:hAnsi="仿宋"/>
          <w:b/>
          <w:kern w:val="2"/>
          <w:szCs w:val="24"/>
          <w:lang w:eastAsia="zh-CN" w:bidi="ar-SA"/>
        </w:rPr>
      </w:pPr>
      <w:bookmarkStart w:id="12" w:name="_Toc7607"/>
      <w:bookmarkStart w:id="13" w:name="_Toc6470"/>
      <w:bookmarkStart w:id="14" w:name="_Toc19758"/>
      <w:bookmarkStart w:id="15" w:name="_Toc308173962"/>
      <w:bookmarkStart w:id="16" w:name="_Toc17960"/>
      <w:bookmarkStart w:id="17" w:name="_Toc302735371"/>
      <w:bookmarkStart w:id="18" w:name="_Toc4407"/>
      <w:bookmarkStart w:id="19" w:name="_Toc13429"/>
      <w:bookmarkStart w:id="20" w:name="_Toc492286258"/>
      <w:bookmarkStart w:id="21" w:name="_Toc492286293"/>
      <w:bookmarkStart w:id="22" w:name="_Toc14552"/>
      <w:r>
        <w:rPr>
          <w:rFonts w:ascii="仿宋" w:eastAsia="仿宋" w:hAnsi="仿宋" w:hint="eastAsia"/>
          <w:b/>
          <w:kern w:val="2"/>
          <w:szCs w:val="24"/>
          <w:lang w:eastAsia="zh-CN" w:bidi="ar-SA"/>
        </w:rPr>
        <w:t>第二章 投资者分类</w:t>
      </w:r>
      <w:bookmarkEnd w:id="12"/>
      <w:bookmarkEnd w:id="13"/>
      <w:bookmarkEnd w:id="14"/>
      <w:bookmarkEnd w:id="15"/>
      <w:bookmarkEnd w:id="16"/>
      <w:bookmarkEnd w:id="17"/>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 xml:space="preserve"> 投资者分为普通投资者与专业投资者。普通投资者在信息告知、风险警示、适当性匹配等方面享有特别保护。</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 xml:space="preserve"> 专业投资者类别。符合下列条件之一的是专业投资者：</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（二）上述机构面向投资者发行的理财产品，包括但不限于证券公司资产管理产品、基金管理公司及其子公司产品、期货公司资产管理产品、银行理财产品、保险产品、信托产品、经行业协会备案的私募基金。</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（三）社会保障基金、企业年金等养老基金，慈善基金等社会公益基金，合格境外机构投资者（</w:t>
      </w:r>
      <w:r>
        <w:rPr>
          <w:rFonts w:ascii="仿宋" w:eastAsia="仿宋" w:hAnsi="仿宋"/>
          <w:szCs w:val="24"/>
          <w:lang w:eastAsia="zh-CN"/>
        </w:rPr>
        <w:t xml:space="preserve">QFII） </w:t>
      </w:r>
      <w:r>
        <w:rPr>
          <w:rFonts w:ascii="仿宋" w:eastAsia="仿宋" w:hAnsi="仿宋" w:hint="eastAsia"/>
          <w:szCs w:val="24"/>
          <w:lang w:eastAsia="zh-CN"/>
        </w:rPr>
        <w:t>、人民币合格境外机构投资者（</w:t>
      </w:r>
      <w:r>
        <w:rPr>
          <w:rFonts w:ascii="仿宋" w:eastAsia="仿宋" w:hAnsi="仿宋"/>
          <w:szCs w:val="24"/>
          <w:lang w:eastAsia="zh-CN"/>
        </w:rPr>
        <w:t xml:space="preserve">RQFII） </w:t>
      </w:r>
      <w:r>
        <w:rPr>
          <w:rFonts w:ascii="仿宋" w:eastAsia="仿宋" w:hAnsi="仿宋" w:hint="eastAsia"/>
          <w:szCs w:val="24"/>
          <w:lang w:eastAsia="zh-CN"/>
        </w:rPr>
        <w:t>。</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（四）同时符合下列条件的法人或者其他组织：</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szCs w:val="24"/>
          <w:lang w:eastAsia="zh-CN"/>
        </w:rPr>
        <w:t>1、最近1年末净资产不低于2000万元；</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szCs w:val="24"/>
          <w:lang w:eastAsia="zh-CN"/>
        </w:rPr>
        <w:t>2、最近1年末金融资产不低于1000万元；</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szCs w:val="24"/>
          <w:lang w:eastAsia="zh-CN"/>
        </w:rPr>
        <w:t>3、具有2年以上证券、基金、期货、黄金、外汇等投资经历。</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（五）同时符合下列条件的自然人：</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szCs w:val="24"/>
          <w:lang w:eastAsia="zh-CN"/>
        </w:rPr>
        <w:t>1、金融资产不低于500万元，或者最近3年个人年均收入不低于50万元；</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szCs w:val="24"/>
          <w:lang w:eastAsia="zh-CN"/>
        </w:rPr>
        <w:lastRenderedPageBreak/>
        <w:t>2、具有2年以上证券、基金、期货、黄金、外汇等投资经历，或者具有2年以上金融产品设计、投资、风险管理及相关工作经历，或者属于本条第（一）项规定的专业投资者的高级管理人员、获得职业资格认证的从事金融相关业务的注册会计师和律师。</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前款所称金融资产，是指银行存款、股票、债券、基金份额、资产管理计划、银行理财产品、信托计划、保险产品、期货及其他衍生产品等。</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 xml:space="preserve"> 根据专业投资者的业务资格、投资实力、投资经历等因素，将专业投资者进一步细化</w:t>
      </w:r>
      <w:r>
        <w:rPr>
          <w:rFonts w:ascii="仿宋" w:eastAsia="仿宋" w:hAnsi="仿宋"/>
          <w:bCs/>
          <w:kern w:val="2"/>
          <w:szCs w:val="24"/>
          <w:lang w:eastAsia="zh-CN" w:bidi="ar-SA"/>
        </w:rPr>
        <w:t>A、B、C三类。</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（一）专业投资者</w:t>
      </w:r>
      <w:r>
        <w:rPr>
          <w:rFonts w:ascii="仿宋" w:eastAsia="仿宋" w:hAnsi="仿宋"/>
          <w:szCs w:val="24"/>
          <w:lang w:eastAsia="zh-CN"/>
        </w:rPr>
        <w:t>A类。指满足第</w:t>
      </w:r>
      <w:r>
        <w:rPr>
          <w:rFonts w:ascii="仿宋" w:eastAsia="仿宋" w:hAnsi="仿宋" w:hint="eastAsia"/>
          <w:szCs w:val="24"/>
          <w:lang w:eastAsia="zh-CN"/>
        </w:rPr>
        <w:t>四</w:t>
      </w:r>
      <w:r>
        <w:rPr>
          <w:rFonts w:ascii="仿宋" w:eastAsia="仿宋" w:hAnsi="仿宋"/>
          <w:szCs w:val="24"/>
          <w:lang w:eastAsia="zh-CN"/>
        </w:rPr>
        <w:t>条第（一）、（二）、（三）项条件的专业投资者。</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（二）专业投资者</w:t>
      </w:r>
      <w:r>
        <w:rPr>
          <w:rFonts w:ascii="仿宋" w:eastAsia="仿宋" w:hAnsi="仿宋"/>
          <w:szCs w:val="24"/>
          <w:lang w:eastAsia="zh-CN"/>
        </w:rPr>
        <w:t>B类。指满足第</w:t>
      </w:r>
      <w:r>
        <w:rPr>
          <w:rFonts w:ascii="仿宋" w:eastAsia="仿宋" w:hAnsi="仿宋" w:hint="eastAsia"/>
          <w:szCs w:val="24"/>
          <w:lang w:eastAsia="zh-CN"/>
        </w:rPr>
        <w:t>四</w:t>
      </w:r>
      <w:r>
        <w:rPr>
          <w:rFonts w:ascii="仿宋" w:eastAsia="仿宋" w:hAnsi="仿宋"/>
          <w:szCs w:val="24"/>
          <w:lang w:eastAsia="zh-CN"/>
        </w:rPr>
        <w:t>条第（四）、（五）项条件的专业投资者。</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（三）专业投资者</w:t>
      </w:r>
      <w:r>
        <w:rPr>
          <w:rFonts w:ascii="仿宋" w:eastAsia="仿宋" w:hAnsi="仿宋"/>
          <w:szCs w:val="24"/>
          <w:lang w:eastAsia="zh-CN"/>
        </w:rPr>
        <w:t>C</w:t>
      </w:r>
      <w:r>
        <w:rPr>
          <w:rFonts w:ascii="仿宋" w:eastAsia="仿宋" w:hAnsi="仿宋" w:hint="eastAsia"/>
          <w:szCs w:val="24"/>
          <w:lang w:eastAsia="zh-CN"/>
        </w:rPr>
        <w:t>类。指经恒泰期货批准的、普通投资者申请转化成为的专业投资者。</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 xml:space="preserve"> 专业投资者之外的投资者为普通投资者。</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 xml:space="preserve"> </w:t>
      </w:r>
      <w:r w:rsidR="00EE0FB3">
        <w:rPr>
          <w:rFonts w:ascii="仿宋" w:eastAsia="仿宋" w:hAnsi="仿宋"/>
          <w:bCs/>
          <w:kern w:val="2"/>
          <w:szCs w:val="24"/>
          <w:lang w:eastAsia="zh-CN" w:bidi="ar-SA"/>
        </w:rPr>
        <w:t>证券公司</w:t>
      </w:r>
      <w:r>
        <w:rPr>
          <w:rFonts w:ascii="仿宋" w:eastAsia="仿宋" w:hAnsi="仿宋"/>
          <w:bCs/>
          <w:kern w:val="2"/>
          <w:szCs w:val="24"/>
          <w:lang w:eastAsia="zh-CN" w:bidi="ar-SA"/>
        </w:rPr>
        <w:t>IB营业部</w:t>
      </w:r>
      <w:r>
        <w:rPr>
          <w:rFonts w:ascii="仿宋" w:eastAsia="仿宋" w:hAnsi="仿宋" w:hint="eastAsia"/>
          <w:bCs/>
          <w:kern w:val="2"/>
          <w:szCs w:val="24"/>
          <w:lang w:eastAsia="zh-CN" w:bidi="ar-SA"/>
        </w:rPr>
        <w:t>在向普通投资者提供服务前，按照有效维护投资者合法权益的要求，综合考虑收入来源、资产状况、债务、投资知识和经验、风险偏好、诚信状况等因素，对投资者进行风险承受能力评估。</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普通投资者按其风险承受能力等级由低到高至少划分为五类，分别为：</w:t>
      </w:r>
      <w:r>
        <w:rPr>
          <w:rFonts w:ascii="仿宋" w:eastAsia="仿宋" w:hAnsi="仿宋"/>
          <w:bCs/>
          <w:kern w:val="2"/>
          <w:szCs w:val="24"/>
          <w:lang w:eastAsia="zh-CN" w:bidi="ar-SA"/>
        </w:rPr>
        <w:t>C1（含风险承受能力最低类别的投资者）、C2、C3、C4、C5，每类可根据实际情况进一步细分。具体分类标准、方法及其变更须告知投资者。</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w:t>
      </w:r>
      <w:r>
        <w:rPr>
          <w:rFonts w:ascii="仿宋" w:eastAsia="仿宋" w:hAnsi="仿宋"/>
          <w:szCs w:val="24"/>
          <w:lang w:eastAsia="zh-CN"/>
        </w:rPr>
        <w:t>C1，表明该类投资者对任何市场行情下跌都不愿意接受，不能承受小的资产波动和本金受损。</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恒泰期货将</w:t>
      </w:r>
      <w:r>
        <w:rPr>
          <w:rFonts w:ascii="仿宋" w:eastAsia="仿宋" w:hAnsi="仿宋"/>
          <w:szCs w:val="24"/>
          <w:lang w:eastAsia="zh-CN"/>
        </w:rPr>
        <w:t>C1中符合下列情形之一的自然人，作为风险承受能力最低类别的投资者：</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szCs w:val="24"/>
          <w:lang w:eastAsia="zh-CN"/>
        </w:rPr>
        <w:t>1、不具有完全民事行为能力；</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szCs w:val="24"/>
          <w:lang w:eastAsia="zh-CN"/>
        </w:rPr>
        <w:t>2、没有风险容忍度或者不愿承受任何投资损失；</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szCs w:val="24"/>
          <w:lang w:eastAsia="zh-CN"/>
        </w:rPr>
        <w:t>3、法律、行政法规规定的其他情形。</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lastRenderedPageBreak/>
        <w:t>（二）</w:t>
      </w:r>
      <w:r>
        <w:rPr>
          <w:rFonts w:ascii="仿宋" w:eastAsia="仿宋" w:hAnsi="仿宋"/>
          <w:szCs w:val="24"/>
          <w:lang w:eastAsia="zh-CN"/>
        </w:rPr>
        <w:t>C2，表明该类投资者关注本金安全，能够承受少许本金损失和波动。</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（三）</w:t>
      </w:r>
      <w:r>
        <w:rPr>
          <w:rFonts w:ascii="仿宋" w:eastAsia="仿宋" w:hAnsi="仿宋"/>
          <w:szCs w:val="24"/>
          <w:lang w:eastAsia="zh-CN"/>
        </w:rPr>
        <w:t>C3，表明该类投资者为了投资风险和资产增值之间的平衡，愿承担一定程度的风险。</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（四）</w:t>
      </w:r>
      <w:r>
        <w:rPr>
          <w:rFonts w:ascii="仿宋" w:eastAsia="仿宋" w:hAnsi="仿宋"/>
          <w:szCs w:val="24"/>
          <w:lang w:eastAsia="zh-CN"/>
        </w:rPr>
        <w:t>C4，表明该类投资者为获得高回报投资收益，能够承受投资产品价格的显著波动。</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（五）</w:t>
      </w:r>
      <w:r>
        <w:rPr>
          <w:rFonts w:ascii="仿宋" w:eastAsia="仿宋" w:hAnsi="仿宋"/>
          <w:szCs w:val="24"/>
          <w:lang w:eastAsia="zh-CN"/>
        </w:rPr>
        <w:t>C5，表明该类投资者能够承受投资产品价格的剧烈波动，也可以承担这种波动带来的后果。</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当投资者提供其基本信息、接受风险承受能力评估时，</w:t>
      </w:r>
      <w:r>
        <w:rPr>
          <w:rFonts w:ascii="仿宋" w:eastAsia="仿宋" w:hAnsi="仿宋"/>
          <w:szCs w:val="24"/>
          <w:lang w:eastAsia="zh-CN"/>
        </w:rPr>
        <w:t>IB</w:t>
      </w:r>
      <w:r>
        <w:rPr>
          <w:rFonts w:ascii="仿宋" w:eastAsia="仿宋" w:hAnsi="仿宋" w:hint="eastAsia"/>
          <w:szCs w:val="24"/>
          <w:lang w:eastAsia="zh-CN"/>
        </w:rPr>
        <w:t>业务人员不得以明示、暗示等方式诱导、误导、欺骗投资者，影响投资者评估结果。</w:t>
      </w:r>
    </w:p>
    <w:p w:rsidR="0095117E" w:rsidRDefault="00EB5038">
      <w:pPr>
        <w:widowControl w:val="0"/>
        <w:numPr>
          <w:ilvl w:val="0"/>
          <w:numId w:val="1"/>
        </w:numPr>
        <w:spacing w:after="0" w:line="360" w:lineRule="auto"/>
        <w:ind w:left="0" w:firstLineChars="200" w:firstLine="480"/>
        <w:jc w:val="both"/>
        <w:rPr>
          <w:rFonts w:ascii="仿宋" w:eastAsia="仿宋" w:hAnsi="仿宋"/>
          <w:szCs w:val="24"/>
          <w:lang w:eastAsia="zh-CN" w:bidi="ar-SA"/>
        </w:rPr>
      </w:pPr>
      <w:r>
        <w:rPr>
          <w:rFonts w:ascii="仿宋" w:eastAsia="仿宋" w:hAnsi="仿宋"/>
          <w:bCs/>
          <w:kern w:val="2"/>
          <w:szCs w:val="24"/>
          <w:lang w:eastAsia="zh-CN" w:bidi="ar-SA"/>
        </w:rPr>
        <w:t xml:space="preserve"> </w:t>
      </w:r>
      <w:r>
        <w:rPr>
          <w:rFonts w:ascii="仿宋" w:eastAsia="仿宋" w:hAnsi="仿宋" w:hint="eastAsia"/>
          <w:szCs w:val="24"/>
          <w:lang w:eastAsia="zh-CN" w:bidi="ar-SA"/>
        </w:rPr>
        <w:t>普通投资者和专业投资者在一定条件下可以互相转化。专业投资者B类，可以书面告知恒泰期货、</w:t>
      </w:r>
      <w:r w:rsidR="00EE0FB3">
        <w:rPr>
          <w:rFonts w:ascii="仿宋" w:eastAsia="仿宋" w:hAnsi="仿宋" w:hint="eastAsia"/>
          <w:szCs w:val="24"/>
          <w:lang w:eastAsia="zh-CN" w:bidi="ar-SA"/>
        </w:rPr>
        <w:t>证券公司</w:t>
      </w:r>
      <w:r>
        <w:rPr>
          <w:rFonts w:ascii="仿宋" w:eastAsia="仿宋" w:hAnsi="仿宋" w:hint="eastAsia"/>
          <w:szCs w:val="24"/>
          <w:lang w:eastAsia="zh-CN" w:bidi="ar-SA"/>
        </w:rPr>
        <w:t>IB营业部选择成为普通投资者，恒泰期货、</w:t>
      </w:r>
      <w:r w:rsidR="00EE0FB3">
        <w:rPr>
          <w:rFonts w:ascii="仿宋" w:eastAsia="仿宋" w:hAnsi="仿宋" w:hint="eastAsia"/>
          <w:szCs w:val="24"/>
          <w:lang w:eastAsia="zh-CN" w:bidi="ar-SA"/>
        </w:rPr>
        <w:t>证券公司</w:t>
      </w:r>
      <w:r>
        <w:rPr>
          <w:rFonts w:ascii="仿宋" w:eastAsia="仿宋" w:hAnsi="仿宋" w:hint="eastAsia"/>
          <w:szCs w:val="24"/>
          <w:lang w:eastAsia="zh-CN" w:bidi="ar-SA"/>
        </w:rPr>
        <w:t>IB营业部对其履行相应的适当性评估、匹配与管理义务。</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符合下列条件之一的普通投资者可以申请转化成为专业投资者，但恒泰期货自主决定是否同意其转化：</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（一）最近</w:t>
      </w:r>
      <w:r>
        <w:rPr>
          <w:rFonts w:ascii="仿宋" w:eastAsia="仿宋" w:hAnsi="仿宋"/>
          <w:szCs w:val="24"/>
          <w:lang w:eastAsia="zh-CN"/>
        </w:rPr>
        <w:t>1年末净资产不低于1000万元，最近1年末金融资产不低于500万元，且具有1年以上证券、基金、期货、黄金、外汇等投资经历的除专业投资者外的法人或其他组织；</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（二）金融资产不低于</w:t>
      </w:r>
      <w:r>
        <w:rPr>
          <w:rFonts w:ascii="仿宋" w:eastAsia="仿宋" w:hAnsi="仿宋"/>
          <w:szCs w:val="24"/>
          <w:lang w:eastAsia="zh-CN"/>
        </w:rPr>
        <w:t>300万元或者最近3年个人年均收入不低于30万元，且具有1年以上证券、基金、期货、黄金、外汇等投资经历或者1年以上金融产品设计、投资、风险管理及相关工作经历的自然人投资者。</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 xml:space="preserve"> 普通投资者申请成为专业投资者应当以书面形式提出申请并确认自主承担可能产生的风险和后果，提供相关证明材料。</w:t>
      </w:r>
    </w:p>
    <w:p w:rsidR="0095117E" w:rsidRDefault="00EE0FB3">
      <w:pPr>
        <w:spacing w:after="0" w:line="360" w:lineRule="auto"/>
        <w:ind w:firstLineChars="200" w:firstLine="480"/>
        <w:rPr>
          <w:rFonts w:ascii="仿宋" w:eastAsia="仿宋" w:hAnsi="仿宋"/>
          <w:szCs w:val="24"/>
          <w:lang w:eastAsia="zh-CN"/>
        </w:rPr>
      </w:pPr>
      <w:bookmarkStart w:id="23" w:name="_Toc16844"/>
      <w:r>
        <w:rPr>
          <w:rFonts w:ascii="仿宋" w:eastAsia="仿宋" w:hAnsi="仿宋" w:hint="eastAsia"/>
          <w:szCs w:val="24"/>
          <w:lang w:eastAsia="zh-CN"/>
        </w:rPr>
        <w:t>证券公司</w:t>
      </w:r>
      <w:r w:rsidR="00EB5038">
        <w:rPr>
          <w:rFonts w:ascii="仿宋" w:eastAsia="仿宋" w:hAnsi="仿宋" w:hint="eastAsia"/>
          <w:szCs w:val="24"/>
          <w:lang w:eastAsia="zh-CN"/>
        </w:rPr>
        <w:t>IB营业部通过追加了解信息、投资知识测试或者模拟交易等方式对投资者进行谨慎评估，确认其符合前条要求，说明对不同类别投资者履行适当性义务的差别，警示可能承担的投资风险，告知申请的审查结果及其理由。</w:t>
      </w:r>
      <w:bookmarkEnd w:id="23"/>
    </w:p>
    <w:p w:rsidR="00000000" w:rsidRDefault="00EB5038" w:rsidP="00DD5597">
      <w:pPr>
        <w:pStyle w:val="12"/>
        <w:spacing w:beforeLines="50" w:afterLines="50" w:line="360" w:lineRule="auto"/>
        <w:ind w:firstLineChars="0" w:firstLine="0"/>
        <w:jc w:val="center"/>
        <w:outlineLvl w:val="0"/>
        <w:rPr>
          <w:rFonts w:ascii="仿宋" w:eastAsia="仿宋" w:hAnsi="仿宋"/>
          <w:b/>
          <w:kern w:val="0"/>
          <w:sz w:val="24"/>
          <w:szCs w:val="24"/>
          <w:lang w:bidi="en-US"/>
        </w:rPr>
      </w:pPr>
      <w:bookmarkStart w:id="24" w:name="_Toc29053"/>
      <w:bookmarkStart w:id="25" w:name="_Toc31096"/>
      <w:bookmarkStart w:id="26" w:name="_Toc17784"/>
      <w:bookmarkStart w:id="27" w:name="_Toc2353"/>
      <w:r>
        <w:rPr>
          <w:rFonts w:ascii="仿宋" w:eastAsia="仿宋" w:hAnsi="仿宋" w:hint="eastAsia"/>
          <w:b/>
          <w:kern w:val="0"/>
          <w:sz w:val="24"/>
          <w:szCs w:val="24"/>
          <w:lang w:bidi="en-US"/>
        </w:rPr>
        <w:t>第三章 投资者适当性评估</w:t>
      </w:r>
      <w:bookmarkEnd w:id="18"/>
      <w:bookmarkEnd w:id="19"/>
      <w:bookmarkEnd w:id="20"/>
      <w:bookmarkEnd w:id="21"/>
      <w:bookmarkEnd w:id="22"/>
      <w:bookmarkEnd w:id="24"/>
      <w:bookmarkEnd w:id="25"/>
      <w:bookmarkEnd w:id="26"/>
      <w:bookmarkEnd w:id="27"/>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 xml:space="preserve"> </w:t>
      </w:r>
      <w:r w:rsidR="00EE0FB3">
        <w:rPr>
          <w:rFonts w:ascii="仿宋" w:eastAsia="仿宋" w:hAnsi="仿宋" w:hint="eastAsia"/>
          <w:bCs/>
          <w:kern w:val="2"/>
          <w:szCs w:val="24"/>
          <w:lang w:eastAsia="zh-CN" w:bidi="ar-SA"/>
        </w:rPr>
        <w:t>证券公司</w:t>
      </w:r>
      <w:r>
        <w:rPr>
          <w:rFonts w:ascii="仿宋" w:eastAsia="仿宋" w:hAnsi="仿宋" w:hint="eastAsia"/>
          <w:bCs/>
          <w:kern w:val="2"/>
          <w:szCs w:val="24"/>
          <w:lang w:eastAsia="zh-CN" w:bidi="ar-SA"/>
        </w:rPr>
        <w:t>IB营业部开户人员在为客户开立期货账户之前应向</w:t>
      </w:r>
      <w:r>
        <w:rPr>
          <w:rFonts w:ascii="仿宋" w:eastAsia="仿宋" w:hAnsi="仿宋" w:hint="eastAsia"/>
          <w:bCs/>
          <w:kern w:val="2"/>
          <w:szCs w:val="24"/>
          <w:lang w:eastAsia="zh-CN" w:bidi="ar-SA"/>
        </w:rPr>
        <w:lastRenderedPageBreak/>
        <w:t>客户明示其</w:t>
      </w:r>
      <w:r w:rsidR="00EE0FB3">
        <w:rPr>
          <w:rFonts w:ascii="仿宋" w:eastAsia="仿宋" w:hAnsi="仿宋" w:hint="eastAsia"/>
          <w:bCs/>
          <w:kern w:val="2"/>
          <w:szCs w:val="24"/>
          <w:lang w:eastAsia="zh-CN" w:bidi="ar-SA"/>
        </w:rPr>
        <w:t>证券公司</w:t>
      </w:r>
      <w:r>
        <w:rPr>
          <w:rFonts w:ascii="仿宋" w:eastAsia="仿宋" w:hAnsi="仿宋" w:hint="eastAsia"/>
          <w:bCs/>
          <w:kern w:val="2"/>
          <w:szCs w:val="24"/>
          <w:lang w:eastAsia="zh-CN" w:bidi="ar-SA"/>
        </w:rPr>
        <w:t>与恒泰期货的介绍业务委托关系。</w:t>
      </w:r>
    </w:p>
    <w:p w:rsidR="0095117E" w:rsidRDefault="00EE0FB3">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证券公司</w:t>
      </w:r>
      <w:r w:rsidR="00EB5038">
        <w:rPr>
          <w:rFonts w:ascii="仿宋" w:eastAsia="仿宋" w:hAnsi="仿宋" w:hint="eastAsia"/>
          <w:bCs/>
          <w:kern w:val="2"/>
          <w:szCs w:val="24"/>
          <w:lang w:eastAsia="zh-CN" w:bidi="ar-SA"/>
        </w:rPr>
        <w:t>IB营业部对普通投资者进行适当性评估时，投资者须提供以下材料：</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（一）境内投资者：</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1、自然人投资者需出示身份证；</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2、法人投资者授权开户人需提供公司营业执照、《授权委托书》及授权开户人身份证；</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（二）境外或港、澳、台地区投资者（仅限于申请原油期货账户投资者）</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1、境外自然人投资者需提供所在国护照；驾照、社保证件、纳税证件、当地身份证或其他参考证件；</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2、港、澳地区自然人投资者需提供港澳永久性居民身份证，台湾地区自然人投资者需提供台湾居民往来大陆通行证；驾照、社保证件、纳税证件、台湾身份证、港澳居民往来内地通行证或其他参考证件；</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3、境外法人投资者及港澳台地区单位交易者需提供注册国（或地区）的商业登记证；注册国（或地区）纳税证件。</w:t>
      </w:r>
    </w:p>
    <w:p w:rsidR="0095117E" w:rsidRDefault="00EB5038">
      <w:pPr>
        <w:widowControl w:val="0"/>
        <w:numPr>
          <w:ilvl w:val="255"/>
          <w:numId w:val="0"/>
        </w:numPr>
        <w:spacing w:after="0" w:line="360" w:lineRule="auto"/>
        <w:ind w:leftChars="200" w:left="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（三）境内永久居留的自然人投资者：</w:t>
      </w:r>
    </w:p>
    <w:p w:rsidR="0095117E" w:rsidRDefault="00EB5038">
      <w:pPr>
        <w:widowControl w:val="0"/>
        <w:numPr>
          <w:ilvl w:val="255"/>
          <w:numId w:val="0"/>
        </w:numPr>
        <w:spacing w:after="0" w:line="360" w:lineRule="auto"/>
        <w:ind w:firstLineChars="200" w:firstLine="480"/>
        <w:jc w:val="both"/>
        <w:rPr>
          <w:rFonts w:ascii="仿宋" w:eastAsia="仿宋" w:hAnsi="仿宋"/>
          <w:szCs w:val="24"/>
          <w:lang w:eastAsia="zh-CN" w:bidi="ar-SA"/>
        </w:rPr>
      </w:pPr>
      <w:r>
        <w:rPr>
          <w:rFonts w:ascii="仿宋" w:eastAsia="仿宋" w:hAnsi="仿宋" w:hint="eastAsia"/>
          <w:bCs/>
          <w:kern w:val="2"/>
          <w:szCs w:val="24"/>
          <w:lang w:eastAsia="zh-CN" w:bidi="ar-SA"/>
        </w:rPr>
        <w:t>1、</w:t>
      </w:r>
      <w:r>
        <w:rPr>
          <w:rFonts w:ascii="仿宋" w:eastAsia="仿宋" w:hAnsi="仿宋" w:hint="eastAsia"/>
          <w:szCs w:val="24"/>
          <w:lang w:eastAsia="zh-CN" w:bidi="ar-SA"/>
        </w:rPr>
        <w:t>境内永久居留的自然人投资者需提供《外国人永久居留证》；所在国护照、驾照、社保证件、纳税证件、当地身份证或其他参考证件，其中，所在国护照为必须提供的参考证件。</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对普通投资者进行适当性评估时投资者须签署以下材料：</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1、《投资者基本信息表》；</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2、《投资者风险承受能力调查问卷》；</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3、《普通投资者适当性匹配意见告知书》及/或《普通投资者购买高于自身风险承受能力服务的风险警示书》；</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4、《普通投资者特别风险警示书》；</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5、《税收居民身份声明书》。</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6、适当性评估所需的其他文件。</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投资者适当性评估完成后，IB营业部开户岗人员须及时向恒泰</w:t>
      </w:r>
      <w:r>
        <w:rPr>
          <w:rFonts w:ascii="仿宋" w:eastAsia="仿宋" w:hAnsi="仿宋" w:hint="eastAsia"/>
          <w:bCs/>
          <w:kern w:val="2"/>
          <w:szCs w:val="24"/>
          <w:lang w:eastAsia="zh-CN" w:bidi="ar-SA"/>
        </w:rPr>
        <w:lastRenderedPageBreak/>
        <w:t>期货提交客户信息、适当性评估影像资料。</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专业投资者根据类别还需提供和签署以下材料：</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（一）A类专业投资者开立期货账户应该提供和签署以下材料：</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1、公司“三证（或五证）合一”的《营业执照》；</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2、银行开户许可证；</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3、开户代理人正面照、身份证正反面复印件及扫描件（加盖公章）、开户代理人签合同照片；</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4、法定代表人、指定下单人、结算单确认人、资金调拨人的身份证正反面复印件；</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5、特殊单位客户交易编码申请表（一式三份），并每页加盖骑缝公章；</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6、公司承诺函；</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（二）A类专业投资者开立产品账户除上述应该提供和签署的材料外还须提供以下材料：</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1、托管银行开具的银行托管账户开户回执；</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2、产品承诺函；</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（三）</w:t>
      </w:r>
      <w:r>
        <w:rPr>
          <w:rFonts w:ascii="仿宋" w:eastAsia="仿宋" w:hAnsi="仿宋"/>
          <w:szCs w:val="24"/>
          <w:lang w:eastAsia="zh-CN"/>
        </w:rPr>
        <w:t>A类专业投资者开立期货账户需填写包括但不限于以下文件资料：</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1、《投资者基本信息表（机构）》；</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2、《专业投资者告知及确认书》；</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3、《机构税收居民身份声明书》；</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（四）B类专业投资者开立商品期货账户应该提供以下材料：</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1、自然人专业投资者提供近一个月的金融资产证明文件或近３年收入证明、投资经历或工作证明、职业资格证书等；</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2、法人专业投资者提供最近一年的财务报表、金融资产证明文件、本机构的投资经历等证明材料。</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（五）B类专业投资者客户开立商品期货账户应该签署以下文件材料：</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1、《投资者基本信息表》；</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2、《税收居民声明书》；</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3、《专业投资者申请书》；</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lastRenderedPageBreak/>
        <w:t>4、《专业投资者告知及确认书》；</w:t>
      </w:r>
    </w:p>
    <w:p w:rsidR="00000000" w:rsidRDefault="00EB5038" w:rsidP="00DD5597">
      <w:pPr>
        <w:pStyle w:val="12"/>
        <w:spacing w:beforeLines="50" w:afterLines="50" w:line="360" w:lineRule="auto"/>
        <w:ind w:firstLineChars="0" w:firstLine="0"/>
        <w:jc w:val="center"/>
        <w:outlineLvl w:val="0"/>
        <w:rPr>
          <w:rFonts w:ascii="仿宋" w:eastAsia="仿宋" w:hAnsi="仿宋"/>
          <w:b/>
          <w:kern w:val="0"/>
          <w:sz w:val="24"/>
          <w:szCs w:val="24"/>
          <w:lang w:bidi="en-US"/>
        </w:rPr>
      </w:pPr>
      <w:bookmarkStart w:id="28" w:name="_Toc3029"/>
      <w:bookmarkStart w:id="29" w:name="_Toc22804"/>
      <w:bookmarkStart w:id="30" w:name="_Toc12245"/>
      <w:bookmarkStart w:id="31" w:name="_Toc492286294"/>
      <w:bookmarkStart w:id="32" w:name="_Toc32533"/>
      <w:bookmarkStart w:id="33" w:name="_Toc23465"/>
      <w:bookmarkStart w:id="34" w:name="_Toc492286259"/>
      <w:bookmarkStart w:id="35" w:name="_Toc27562"/>
      <w:bookmarkStart w:id="36" w:name="_Toc4931"/>
      <w:bookmarkStart w:id="37" w:name="_Toc26222"/>
      <w:r>
        <w:rPr>
          <w:rFonts w:ascii="仿宋" w:eastAsia="仿宋" w:hAnsi="仿宋" w:hint="eastAsia"/>
          <w:b/>
          <w:kern w:val="0"/>
          <w:sz w:val="24"/>
          <w:szCs w:val="24"/>
          <w:lang w:bidi="en-US"/>
        </w:rPr>
        <w:t>第四章 开户管理</w:t>
      </w:r>
      <w:bookmarkEnd w:id="28"/>
      <w:bookmarkEnd w:id="29"/>
      <w:bookmarkEnd w:id="30"/>
      <w:bookmarkEnd w:id="31"/>
      <w:bookmarkEnd w:id="32"/>
      <w:bookmarkEnd w:id="33"/>
      <w:bookmarkEnd w:id="34"/>
      <w:bookmarkEnd w:id="35"/>
      <w:bookmarkEnd w:id="36"/>
      <w:bookmarkEnd w:id="37"/>
    </w:p>
    <w:p w:rsidR="00000000" w:rsidRDefault="00EB5038" w:rsidP="00DD5597">
      <w:pPr>
        <w:pStyle w:val="12"/>
        <w:spacing w:beforeLines="50" w:afterLines="50" w:line="360" w:lineRule="auto"/>
        <w:ind w:firstLineChars="0" w:firstLine="0"/>
        <w:jc w:val="center"/>
        <w:outlineLvl w:val="0"/>
        <w:rPr>
          <w:rFonts w:ascii="仿宋" w:eastAsia="仿宋" w:hAnsi="仿宋"/>
          <w:b/>
          <w:kern w:val="0"/>
          <w:sz w:val="24"/>
          <w:szCs w:val="24"/>
          <w:lang w:bidi="en-US"/>
        </w:rPr>
      </w:pPr>
      <w:bookmarkStart w:id="38" w:name="_Toc492286295"/>
      <w:bookmarkStart w:id="39" w:name="_Toc22317"/>
      <w:bookmarkStart w:id="40" w:name="_Toc492286260"/>
      <w:bookmarkStart w:id="41" w:name="_Toc15040"/>
      <w:bookmarkStart w:id="42" w:name="_Toc26621"/>
      <w:bookmarkStart w:id="43" w:name="_Toc18279"/>
      <w:bookmarkStart w:id="44" w:name="_Toc6966"/>
      <w:bookmarkStart w:id="45" w:name="_Toc29131"/>
      <w:bookmarkStart w:id="46" w:name="_Toc20988"/>
      <w:bookmarkStart w:id="47" w:name="_Toc16568"/>
      <w:r>
        <w:rPr>
          <w:rFonts w:ascii="仿宋" w:eastAsia="仿宋" w:hAnsi="仿宋" w:hint="eastAsia"/>
          <w:b/>
          <w:kern w:val="0"/>
          <w:sz w:val="24"/>
          <w:szCs w:val="24"/>
          <w:lang w:bidi="en-US"/>
        </w:rPr>
        <w:t>第一节 线下开户合同签署</w:t>
      </w:r>
      <w:bookmarkEnd w:id="38"/>
      <w:bookmarkEnd w:id="39"/>
      <w:bookmarkEnd w:id="40"/>
      <w:bookmarkEnd w:id="41"/>
      <w:bookmarkEnd w:id="42"/>
      <w:bookmarkEnd w:id="43"/>
      <w:bookmarkEnd w:id="44"/>
      <w:bookmarkEnd w:id="45"/>
      <w:bookmarkEnd w:id="46"/>
      <w:bookmarkEnd w:id="47"/>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普通投资者完成适当性评估并经恒泰期货客户服务部审核通过后签署开户合同：</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（一）《期货交易风险说明书》；</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（二）《客户须知》；</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（三）《开户申请表》；</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（四）《期货经纪合同》；</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（五）《银期转账业务协议书》；</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（六）《恒泰期货实际控制关系账户信息申报告知书》；</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（七）其他需要填写的开户资料。</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法人客户须填写《期货交易委托代理人授权书》（指令下达人、资金调拨人、结算单确认人须本人签字留样，法定代表人或开户代理人签字并加盖公章）。</w:t>
      </w:r>
    </w:p>
    <w:p w:rsidR="00000000" w:rsidRDefault="00EB5038" w:rsidP="00DD5597">
      <w:pPr>
        <w:pStyle w:val="12"/>
        <w:spacing w:beforeLines="50" w:afterLines="50" w:line="360" w:lineRule="auto"/>
        <w:ind w:firstLineChars="0" w:firstLine="0"/>
        <w:jc w:val="center"/>
        <w:outlineLvl w:val="0"/>
        <w:rPr>
          <w:rFonts w:ascii="仿宋" w:eastAsia="仿宋" w:hAnsi="仿宋"/>
          <w:b/>
          <w:kern w:val="0"/>
          <w:sz w:val="24"/>
          <w:szCs w:val="24"/>
          <w:lang w:bidi="en-US"/>
        </w:rPr>
      </w:pPr>
      <w:bookmarkStart w:id="48" w:name="_Toc9234"/>
      <w:bookmarkStart w:id="49" w:name="_Toc492286261"/>
      <w:bookmarkStart w:id="50" w:name="_Toc10776"/>
      <w:bookmarkStart w:id="51" w:name="_Toc18033"/>
      <w:bookmarkStart w:id="52" w:name="_Toc20151"/>
      <w:bookmarkStart w:id="53" w:name="_Toc15629"/>
      <w:bookmarkStart w:id="54" w:name="_Toc492286296"/>
      <w:bookmarkStart w:id="55" w:name="_Toc29370"/>
      <w:bookmarkStart w:id="56" w:name="_Toc13710"/>
      <w:bookmarkStart w:id="57" w:name="_Toc3174"/>
      <w:r>
        <w:rPr>
          <w:rFonts w:ascii="仿宋" w:eastAsia="仿宋" w:hAnsi="仿宋" w:hint="eastAsia"/>
          <w:b/>
          <w:kern w:val="0"/>
          <w:sz w:val="24"/>
          <w:szCs w:val="24"/>
          <w:lang w:bidi="en-US"/>
        </w:rPr>
        <w:t>第二节 开户资料签署要求</w:t>
      </w:r>
      <w:bookmarkEnd w:id="48"/>
      <w:bookmarkEnd w:id="49"/>
      <w:bookmarkEnd w:id="50"/>
      <w:bookmarkEnd w:id="51"/>
      <w:bookmarkEnd w:id="52"/>
      <w:bookmarkEnd w:id="53"/>
      <w:bookmarkEnd w:id="54"/>
      <w:bookmarkEnd w:id="55"/>
      <w:bookmarkEnd w:id="56"/>
      <w:bookmarkEnd w:id="57"/>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《开户申请表》要填写详实，不可有空缺遗漏，具体要求如下：</w:t>
      </w:r>
    </w:p>
    <w:p w:rsidR="0095117E" w:rsidRDefault="00EB5038">
      <w:pPr>
        <w:spacing w:after="0" w:line="360" w:lineRule="auto"/>
        <w:ind w:firstLine="403"/>
        <w:rPr>
          <w:rFonts w:ascii="仿宋" w:eastAsia="仿宋" w:hAnsi="仿宋"/>
          <w:szCs w:val="24"/>
          <w:lang w:eastAsia="zh-CN"/>
        </w:rPr>
      </w:pPr>
      <w:r>
        <w:rPr>
          <w:rFonts w:ascii="仿宋" w:eastAsia="仿宋" w:hAnsi="仿宋" w:hint="eastAsia"/>
          <w:szCs w:val="24"/>
          <w:lang w:eastAsia="zh-CN"/>
        </w:rPr>
        <w:t>（一）“职业”应当如实填写，如填写“其他”，另需备注说明具体类别；</w:t>
      </w:r>
    </w:p>
    <w:p w:rsidR="0095117E" w:rsidRDefault="00EB5038">
      <w:pPr>
        <w:spacing w:after="0" w:line="360" w:lineRule="auto"/>
        <w:ind w:firstLine="403"/>
        <w:rPr>
          <w:rFonts w:ascii="仿宋" w:eastAsia="仿宋" w:hAnsi="仿宋"/>
          <w:szCs w:val="24"/>
          <w:lang w:eastAsia="zh-CN"/>
        </w:rPr>
      </w:pPr>
      <w:r>
        <w:rPr>
          <w:rFonts w:ascii="仿宋" w:eastAsia="仿宋" w:hAnsi="仿宋" w:hint="eastAsia"/>
          <w:szCs w:val="24"/>
          <w:lang w:eastAsia="zh-CN"/>
        </w:rPr>
        <w:t>（二）“联系地址”应具体到</w:t>
      </w:r>
      <w:r>
        <w:rPr>
          <w:rFonts w:ascii="仿宋" w:eastAsia="仿宋" w:hAnsi="仿宋"/>
          <w:szCs w:val="24"/>
          <w:lang w:eastAsia="zh-CN"/>
        </w:rPr>
        <w:t>X</w:t>
      </w:r>
      <w:r>
        <w:rPr>
          <w:rFonts w:ascii="仿宋" w:eastAsia="仿宋" w:hAnsi="仿宋" w:hint="eastAsia"/>
          <w:szCs w:val="24"/>
          <w:lang w:eastAsia="zh-CN"/>
        </w:rPr>
        <w:t>号</w:t>
      </w:r>
      <w:r>
        <w:rPr>
          <w:rFonts w:ascii="仿宋" w:eastAsia="仿宋" w:hAnsi="仿宋"/>
          <w:szCs w:val="24"/>
          <w:lang w:eastAsia="zh-CN"/>
        </w:rPr>
        <w:t>X</w:t>
      </w:r>
      <w:r>
        <w:rPr>
          <w:rFonts w:ascii="仿宋" w:eastAsia="仿宋" w:hAnsi="仿宋" w:hint="eastAsia"/>
          <w:szCs w:val="24"/>
          <w:lang w:eastAsia="zh-CN"/>
        </w:rPr>
        <w:t>室，留邮政编码和联系电话；</w:t>
      </w:r>
    </w:p>
    <w:p w:rsidR="0095117E" w:rsidRDefault="00EB5038">
      <w:pPr>
        <w:spacing w:after="0" w:line="360" w:lineRule="auto"/>
        <w:ind w:firstLine="403"/>
        <w:rPr>
          <w:rFonts w:ascii="仿宋" w:eastAsia="仿宋" w:hAnsi="仿宋"/>
          <w:szCs w:val="24"/>
          <w:lang w:eastAsia="zh-CN"/>
        </w:rPr>
      </w:pPr>
      <w:r>
        <w:rPr>
          <w:rFonts w:ascii="仿宋" w:eastAsia="仿宋" w:hAnsi="仿宋" w:hint="eastAsia"/>
          <w:szCs w:val="24"/>
          <w:lang w:eastAsia="zh-CN"/>
        </w:rPr>
        <w:t>（三）银行信息“开户网点”必须填写到具体支行网点，如“××行××分行××支行”</w:t>
      </w:r>
      <w:r>
        <w:rPr>
          <w:rFonts w:ascii="仿宋" w:eastAsia="仿宋" w:hAnsi="仿宋"/>
          <w:szCs w:val="24"/>
          <w:lang w:eastAsia="zh-CN"/>
        </w:rPr>
        <w:t>,</w:t>
      </w:r>
      <w:r>
        <w:rPr>
          <w:rFonts w:ascii="仿宋" w:eastAsia="仿宋" w:hAnsi="仿宋" w:hint="eastAsia"/>
          <w:szCs w:val="24"/>
          <w:lang w:eastAsia="zh-CN"/>
        </w:rPr>
        <w:t>账户户名、期货结算账户户名及个人基本信息中的“姓名”应一致；</w:t>
      </w:r>
    </w:p>
    <w:p w:rsidR="0095117E" w:rsidRDefault="00EB5038">
      <w:pPr>
        <w:spacing w:after="0" w:line="360" w:lineRule="auto"/>
        <w:ind w:firstLine="403"/>
        <w:rPr>
          <w:rFonts w:ascii="仿宋" w:eastAsia="仿宋" w:hAnsi="仿宋"/>
          <w:szCs w:val="24"/>
          <w:lang w:eastAsia="zh-CN"/>
        </w:rPr>
      </w:pPr>
      <w:r>
        <w:rPr>
          <w:rFonts w:ascii="仿宋" w:eastAsia="仿宋" w:hAnsi="仿宋" w:hint="eastAsia"/>
          <w:szCs w:val="24"/>
          <w:lang w:eastAsia="zh-CN"/>
        </w:rPr>
        <w:t>（四）法人开户申请表中“联系人”由申请单位决定，必须填写；</w:t>
      </w:r>
    </w:p>
    <w:p w:rsidR="0095117E" w:rsidRDefault="00EB5038">
      <w:pPr>
        <w:spacing w:after="0" w:line="360" w:lineRule="auto"/>
        <w:ind w:firstLine="403"/>
        <w:rPr>
          <w:rFonts w:ascii="仿宋" w:eastAsia="仿宋" w:hAnsi="仿宋"/>
          <w:szCs w:val="24"/>
          <w:lang w:eastAsia="zh-CN"/>
        </w:rPr>
      </w:pPr>
      <w:r>
        <w:rPr>
          <w:rFonts w:ascii="仿宋" w:eastAsia="仿宋" w:hAnsi="仿宋" w:hint="eastAsia"/>
          <w:szCs w:val="24"/>
          <w:lang w:eastAsia="zh-CN"/>
        </w:rPr>
        <w:t>（五）合同中必须填写部分不得空白，自然人和法人开户时各自对应的签字盖章部分不得空白；</w:t>
      </w:r>
    </w:p>
    <w:p w:rsidR="0095117E" w:rsidRDefault="00EB5038">
      <w:pPr>
        <w:spacing w:after="0" w:line="360" w:lineRule="auto"/>
        <w:ind w:firstLine="403"/>
        <w:rPr>
          <w:rFonts w:ascii="仿宋" w:eastAsia="仿宋" w:hAnsi="仿宋"/>
          <w:szCs w:val="24"/>
          <w:lang w:eastAsia="zh-CN"/>
        </w:rPr>
      </w:pPr>
      <w:r>
        <w:rPr>
          <w:rFonts w:ascii="仿宋" w:eastAsia="仿宋" w:hAnsi="仿宋" w:hint="eastAsia"/>
          <w:szCs w:val="24"/>
          <w:lang w:eastAsia="zh-CN"/>
        </w:rPr>
        <w:t>（六）自然人开户时，合同中有关法人客户的选项不用填，空白处用对角线“</w:t>
      </w:r>
      <w:r>
        <w:rPr>
          <w:rFonts w:ascii="仿宋" w:eastAsia="仿宋" w:hAnsi="仿宋"/>
          <w:szCs w:val="24"/>
          <w:lang w:eastAsia="zh-CN"/>
        </w:rPr>
        <w:t>/</w:t>
      </w:r>
      <w:r>
        <w:rPr>
          <w:rFonts w:ascii="仿宋" w:eastAsia="仿宋" w:hAnsi="仿宋" w:hint="eastAsia"/>
          <w:szCs w:val="24"/>
          <w:lang w:eastAsia="zh-CN"/>
        </w:rPr>
        <w:t>”划掉。法人开户同；</w:t>
      </w:r>
    </w:p>
    <w:p w:rsidR="0095117E" w:rsidRDefault="00EB5038">
      <w:pPr>
        <w:spacing w:after="0" w:line="360" w:lineRule="auto"/>
        <w:ind w:firstLine="403"/>
        <w:rPr>
          <w:rFonts w:ascii="仿宋" w:eastAsia="仿宋" w:hAnsi="仿宋"/>
          <w:szCs w:val="24"/>
          <w:lang w:eastAsia="zh-CN"/>
        </w:rPr>
      </w:pPr>
      <w:r>
        <w:rPr>
          <w:rFonts w:ascii="仿宋" w:eastAsia="仿宋" w:hAnsi="仿宋" w:hint="eastAsia"/>
          <w:szCs w:val="24"/>
          <w:lang w:eastAsia="zh-CN"/>
        </w:rPr>
        <w:lastRenderedPageBreak/>
        <w:t>（七）合同签署应当使用钢笔或签字笔，不得使用圆珠笔，所有签字字体应当前后统一；</w:t>
      </w:r>
    </w:p>
    <w:p w:rsidR="0095117E" w:rsidRDefault="00EB5038">
      <w:pPr>
        <w:spacing w:after="0" w:line="360" w:lineRule="auto"/>
        <w:ind w:firstLine="403"/>
        <w:rPr>
          <w:rFonts w:ascii="仿宋" w:eastAsia="仿宋" w:hAnsi="仿宋"/>
          <w:szCs w:val="24"/>
          <w:lang w:eastAsia="zh-CN"/>
        </w:rPr>
      </w:pPr>
      <w:r>
        <w:rPr>
          <w:rFonts w:ascii="仿宋" w:eastAsia="仿宋" w:hAnsi="仿宋" w:hint="eastAsia"/>
          <w:szCs w:val="24"/>
          <w:lang w:eastAsia="zh-CN"/>
        </w:rPr>
        <w:t>（八）</w:t>
      </w:r>
      <w:r w:rsidR="00EE0FB3">
        <w:rPr>
          <w:rFonts w:ascii="仿宋" w:eastAsia="仿宋" w:hAnsi="仿宋" w:hint="eastAsia"/>
          <w:szCs w:val="24"/>
          <w:lang w:eastAsia="zh-CN"/>
        </w:rPr>
        <w:t>证券公司</w:t>
      </w:r>
      <w:r>
        <w:rPr>
          <w:rFonts w:ascii="仿宋" w:eastAsia="仿宋" w:hAnsi="仿宋" w:hint="eastAsia"/>
          <w:szCs w:val="24"/>
          <w:lang w:eastAsia="zh-CN"/>
        </w:rPr>
        <w:t>、恒泰期货留存的合同与客户留存的合同内容应当保持完全一致。</w:t>
      </w:r>
    </w:p>
    <w:p w:rsidR="00000000" w:rsidRDefault="00EB5038" w:rsidP="00DD5597">
      <w:pPr>
        <w:pStyle w:val="12"/>
        <w:spacing w:beforeLines="50" w:afterLines="50" w:line="360" w:lineRule="auto"/>
        <w:ind w:firstLineChars="0" w:firstLine="0"/>
        <w:jc w:val="center"/>
        <w:outlineLvl w:val="0"/>
        <w:rPr>
          <w:rFonts w:ascii="仿宋" w:eastAsia="仿宋" w:hAnsi="仿宋"/>
          <w:b/>
          <w:kern w:val="0"/>
          <w:sz w:val="24"/>
          <w:szCs w:val="24"/>
          <w:lang w:bidi="en-US"/>
        </w:rPr>
      </w:pPr>
      <w:bookmarkStart w:id="58" w:name="_Toc492286297"/>
      <w:bookmarkStart w:id="59" w:name="_Toc18818"/>
      <w:bookmarkStart w:id="60" w:name="_Toc3412"/>
      <w:bookmarkStart w:id="61" w:name="_Toc1098"/>
      <w:bookmarkStart w:id="62" w:name="_Toc10219"/>
      <w:bookmarkStart w:id="63" w:name="_Toc280"/>
      <w:bookmarkStart w:id="64" w:name="_Toc5086"/>
      <w:bookmarkStart w:id="65" w:name="_Toc6634"/>
      <w:bookmarkStart w:id="66" w:name="_Toc28785"/>
      <w:bookmarkStart w:id="67" w:name="_Toc492286262"/>
      <w:r>
        <w:rPr>
          <w:rFonts w:ascii="仿宋" w:eastAsia="仿宋" w:hAnsi="仿宋" w:hint="eastAsia"/>
          <w:b/>
          <w:kern w:val="0"/>
          <w:sz w:val="24"/>
          <w:szCs w:val="24"/>
          <w:lang w:bidi="en-US"/>
        </w:rPr>
        <w:t>第三节 影像资料留存</w:t>
      </w:r>
      <w:bookmarkEnd w:id="58"/>
      <w:bookmarkEnd w:id="59"/>
      <w:bookmarkEnd w:id="60"/>
      <w:bookmarkEnd w:id="61"/>
      <w:bookmarkEnd w:id="62"/>
      <w:bookmarkEnd w:id="63"/>
      <w:bookmarkEnd w:id="64"/>
      <w:bookmarkEnd w:id="65"/>
      <w:bookmarkEnd w:id="66"/>
      <w:bookmarkEnd w:id="67"/>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自然人客户和法人客户影像资料的留存要求：</w:t>
      </w:r>
    </w:p>
    <w:p w:rsidR="0095117E" w:rsidRDefault="00EB5038">
      <w:pPr>
        <w:spacing w:after="0" w:line="360" w:lineRule="auto"/>
        <w:ind w:firstLine="420"/>
        <w:rPr>
          <w:rFonts w:ascii="仿宋" w:eastAsia="仿宋" w:hAnsi="仿宋"/>
          <w:szCs w:val="24"/>
          <w:lang w:eastAsia="zh-CN"/>
        </w:rPr>
      </w:pPr>
      <w:r>
        <w:rPr>
          <w:rFonts w:ascii="仿宋" w:eastAsia="仿宋" w:hAnsi="仿宋" w:hint="eastAsia"/>
          <w:szCs w:val="24"/>
          <w:lang w:eastAsia="zh-CN"/>
        </w:rPr>
        <w:t>（一）自然人客户：需采集4份影像资料，包括客户头部正面照、客户身份证正面扫描件、反面扫描件、开户人签署合同的姿势照；</w:t>
      </w:r>
    </w:p>
    <w:p w:rsidR="0095117E" w:rsidRDefault="00EB5038">
      <w:pPr>
        <w:spacing w:after="0" w:line="360" w:lineRule="auto"/>
        <w:ind w:firstLine="420"/>
        <w:rPr>
          <w:rFonts w:ascii="仿宋" w:eastAsia="仿宋" w:hAnsi="仿宋"/>
          <w:szCs w:val="24"/>
          <w:lang w:eastAsia="zh-CN"/>
        </w:rPr>
      </w:pPr>
      <w:r>
        <w:rPr>
          <w:rFonts w:ascii="仿宋" w:eastAsia="仿宋" w:hAnsi="仿宋" w:hint="eastAsia"/>
          <w:szCs w:val="24"/>
          <w:lang w:eastAsia="zh-CN"/>
        </w:rPr>
        <w:t>（二）法人客户：需采集5份影像资料，包括开户人头部正面照、开户人身份证正面扫描件、反面扫描件、营业执照扫描件、开户人签署合同的姿势照。</w:t>
      </w:r>
    </w:p>
    <w:p w:rsidR="0095117E" w:rsidRDefault="00EB5038">
      <w:pPr>
        <w:spacing w:after="0" w:line="360" w:lineRule="auto"/>
        <w:ind w:firstLine="420"/>
        <w:rPr>
          <w:rFonts w:ascii="仿宋" w:eastAsia="仿宋" w:hAnsi="仿宋"/>
          <w:szCs w:val="24"/>
          <w:lang w:eastAsia="zh-CN"/>
        </w:rPr>
      </w:pPr>
      <w:r>
        <w:rPr>
          <w:rFonts w:ascii="仿宋" w:eastAsia="仿宋" w:hAnsi="仿宋" w:hint="eastAsia"/>
          <w:szCs w:val="24"/>
          <w:lang w:eastAsia="zh-CN"/>
        </w:rPr>
        <w:t>所有照片和扫描件的影像资料均为jpg格式图片。</w:t>
      </w:r>
    </w:p>
    <w:p w:rsidR="0095117E" w:rsidRDefault="00EE0FB3">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证券公司</w:t>
      </w:r>
      <w:r w:rsidR="00EB5038">
        <w:rPr>
          <w:rFonts w:ascii="仿宋" w:eastAsia="仿宋" w:hAnsi="仿宋" w:hint="eastAsia"/>
          <w:bCs/>
          <w:kern w:val="2"/>
          <w:szCs w:val="24"/>
          <w:lang w:eastAsia="zh-CN" w:bidi="ar-SA"/>
        </w:rPr>
        <w:t>IB营业部协助客户开户时，未商定手续费收取标准的，按恒泰期货默认标准执行（期货交易所手续费收取标准变动时，恒泰期货默认标准将作相应调整）；与客户商定手续费收取标准并经恒泰期货金融期货部审核通过，由恒泰期货金融期货负责填写《特殊手续费申请表》，恒泰期货内部审核后交恒泰期货结算部执行。</w:t>
      </w:r>
    </w:p>
    <w:p w:rsidR="0095117E" w:rsidRDefault="00EE0FB3">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证券公司</w:t>
      </w:r>
      <w:r w:rsidR="00EB5038">
        <w:rPr>
          <w:rFonts w:ascii="仿宋" w:eastAsia="仿宋" w:hAnsi="仿宋" w:hint="eastAsia"/>
          <w:bCs/>
          <w:kern w:val="2"/>
          <w:szCs w:val="24"/>
          <w:lang w:eastAsia="zh-CN" w:bidi="ar-SA"/>
        </w:rPr>
        <w:t>IB营业部客户开户保证金比例默认为恒泰期货标准比例；若客户申请特殊保证金，客户需签署《特殊保证金申请表》，具体比例由恒泰期货金融期货部审核确认，并由恒泰期货金融期货部发起内部审核后交恒泰期货结算部执行。</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协助开户岗在协助客户签署完上述开户资料后必须仔细检查是否签署完整，并交由IB协助风控岗复核，确保开户资料的真实、准确和完整。审核无误后并确认符合开户规定要求后，分别在期货经纪合同及表单的经办人和复核人处签名。</w:t>
      </w:r>
    </w:p>
    <w:p w:rsidR="0095117E" w:rsidRDefault="00EB5038">
      <w:pPr>
        <w:spacing w:after="0" w:line="360" w:lineRule="auto"/>
        <w:ind w:firstLine="420"/>
        <w:rPr>
          <w:rFonts w:ascii="仿宋" w:eastAsia="仿宋" w:hAnsi="仿宋"/>
          <w:szCs w:val="24"/>
          <w:lang w:eastAsia="zh-CN"/>
        </w:rPr>
      </w:pPr>
      <w:r>
        <w:rPr>
          <w:rFonts w:ascii="仿宋" w:eastAsia="仿宋" w:hAnsi="仿宋" w:hint="eastAsia"/>
          <w:szCs w:val="24"/>
          <w:lang w:eastAsia="zh-CN"/>
        </w:rPr>
        <w:t>提供开户服务的</w:t>
      </w:r>
      <w:r w:rsidR="00EE0FB3">
        <w:rPr>
          <w:rFonts w:ascii="仿宋" w:eastAsia="仿宋" w:hAnsi="仿宋" w:hint="eastAsia"/>
          <w:bCs/>
          <w:kern w:val="2"/>
          <w:szCs w:val="24"/>
          <w:lang w:eastAsia="zh-CN" w:bidi="ar-SA"/>
        </w:rPr>
        <w:t>证券公司</w:t>
      </w:r>
      <w:r>
        <w:rPr>
          <w:rFonts w:ascii="仿宋" w:eastAsia="仿宋" w:hAnsi="仿宋" w:hint="eastAsia"/>
          <w:bCs/>
          <w:kern w:val="2"/>
          <w:szCs w:val="24"/>
          <w:lang w:eastAsia="zh-CN" w:bidi="ar-SA"/>
        </w:rPr>
        <w:t>IB营业部，由</w:t>
      </w:r>
      <w:r w:rsidR="00EE0FB3">
        <w:rPr>
          <w:rFonts w:ascii="仿宋" w:eastAsia="仿宋" w:hAnsi="仿宋" w:hint="eastAsia"/>
          <w:bCs/>
          <w:kern w:val="2"/>
          <w:szCs w:val="24"/>
          <w:lang w:eastAsia="zh-CN" w:bidi="ar-SA"/>
        </w:rPr>
        <w:t>证券公司</w:t>
      </w:r>
      <w:r>
        <w:rPr>
          <w:rFonts w:ascii="仿宋" w:eastAsia="仿宋" w:hAnsi="仿宋" w:hint="eastAsia"/>
          <w:bCs/>
          <w:kern w:val="2"/>
          <w:szCs w:val="24"/>
          <w:lang w:eastAsia="zh-CN" w:bidi="ar-SA"/>
        </w:rPr>
        <w:t>IB营业部开户岗履行适当性初步评估职责，开户复核岗履行初步复核职责，复核无误方可提交公司客户服</w:t>
      </w:r>
      <w:r>
        <w:rPr>
          <w:rFonts w:ascii="仿宋" w:eastAsia="仿宋" w:hAnsi="仿宋" w:hint="eastAsia"/>
          <w:bCs/>
          <w:kern w:val="2"/>
          <w:szCs w:val="24"/>
          <w:lang w:eastAsia="zh-CN" w:bidi="ar-SA"/>
        </w:rPr>
        <w:lastRenderedPageBreak/>
        <w:t>务部开户复核岗，复核无误后，由恒泰期货客</w:t>
      </w:r>
      <w:r>
        <w:rPr>
          <w:rFonts w:ascii="仿宋" w:eastAsia="仿宋" w:hAnsi="仿宋" w:hint="eastAsia"/>
          <w:szCs w:val="24"/>
          <w:lang w:eastAsia="zh-CN"/>
        </w:rPr>
        <w:t>户服务部为满足条件的客户开通期货、期权交易权限。</w:t>
      </w:r>
    </w:p>
    <w:p w:rsidR="0095117E" w:rsidRDefault="00EE0FB3">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证券公司</w:t>
      </w:r>
      <w:r w:rsidR="00EB5038">
        <w:rPr>
          <w:rFonts w:ascii="仿宋" w:eastAsia="仿宋" w:hAnsi="仿宋" w:hint="eastAsia"/>
          <w:bCs/>
          <w:kern w:val="2"/>
          <w:szCs w:val="24"/>
          <w:lang w:eastAsia="zh-CN" w:bidi="ar-SA"/>
        </w:rPr>
        <w:t>IB营业部客户的投资者适当性评估及其他开户材料，由恒泰期货总部统一保管，</w:t>
      </w:r>
      <w:r>
        <w:rPr>
          <w:rFonts w:ascii="仿宋" w:eastAsia="仿宋" w:hAnsi="仿宋" w:hint="eastAsia"/>
          <w:bCs/>
          <w:kern w:val="2"/>
          <w:szCs w:val="24"/>
          <w:lang w:eastAsia="zh-CN" w:bidi="ar-SA"/>
        </w:rPr>
        <w:t>证券公司</w:t>
      </w:r>
      <w:r w:rsidR="00EB5038">
        <w:rPr>
          <w:rFonts w:ascii="仿宋" w:eastAsia="仿宋" w:hAnsi="仿宋" w:hint="eastAsia"/>
          <w:bCs/>
          <w:kern w:val="2"/>
          <w:szCs w:val="24"/>
          <w:lang w:eastAsia="zh-CN" w:bidi="ar-SA"/>
        </w:rPr>
        <w:t>IB营业部可留存复印件。</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对下列属于审核不合格的情况，不得办理开立期货资金账户手续：</w:t>
      </w:r>
    </w:p>
    <w:p w:rsidR="0095117E" w:rsidRDefault="00EB5038">
      <w:pPr>
        <w:spacing w:after="0" w:line="360" w:lineRule="auto"/>
        <w:ind w:firstLine="420"/>
        <w:rPr>
          <w:rFonts w:ascii="仿宋" w:eastAsia="仿宋" w:hAnsi="仿宋"/>
          <w:bCs/>
          <w:kern w:val="2"/>
          <w:szCs w:val="24"/>
          <w:lang w:eastAsia="zh-CN" w:bidi="ar-SA"/>
        </w:rPr>
      </w:pPr>
      <w:r>
        <w:rPr>
          <w:rFonts w:ascii="仿宋" w:eastAsia="仿宋" w:hAnsi="仿宋" w:hint="eastAsia"/>
          <w:bCs/>
          <w:kern w:val="2"/>
          <w:szCs w:val="24"/>
          <w:lang w:eastAsia="zh-CN" w:bidi="ar-SA"/>
        </w:rPr>
        <w:t>（一）客户信息不真实；</w:t>
      </w:r>
    </w:p>
    <w:p w:rsidR="0095117E" w:rsidRDefault="00EB5038">
      <w:pPr>
        <w:spacing w:after="0" w:line="360" w:lineRule="auto"/>
        <w:ind w:firstLine="420"/>
        <w:rPr>
          <w:rFonts w:ascii="仿宋" w:eastAsia="仿宋" w:hAnsi="仿宋"/>
          <w:bCs/>
          <w:kern w:val="2"/>
          <w:szCs w:val="24"/>
          <w:lang w:eastAsia="zh-CN" w:bidi="ar-SA"/>
        </w:rPr>
      </w:pPr>
      <w:r>
        <w:rPr>
          <w:rFonts w:ascii="仿宋" w:eastAsia="仿宋" w:hAnsi="仿宋" w:hint="eastAsia"/>
          <w:bCs/>
          <w:kern w:val="2"/>
          <w:szCs w:val="24"/>
          <w:lang w:eastAsia="zh-CN" w:bidi="ar-SA"/>
        </w:rPr>
        <w:t>（二）客户开户资料不完整或有误的；</w:t>
      </w:r>
    </w:p>
    <w:p w:rsidR="0095117E" w:rsidRDefault="00EB5038">
      <w:pPr>
        <w:spacing w:after="0" w:line="360" w:lineRule="auto"/>
        <w:ind w:firstLine="420"/>
        <w:rPr>
          <w:rFonts w:ascii="仿宋" w:eastAsia="仿宋" w:hAnsi="仿宋"/>
          <w:bCs/>
          <w:kern w:val="2"/>
          <w:szCs w:val="24"/>
          <w:lang w:eastAsia="zh-CN" w:bidi="ar-SA"/>
        </w:rPr>
      </w:pPr>
      <w:r>
        <w:rPr>
          <w:rFonts w:ascii="仿宋" w:eastAsia="仿宋" w:hAnsi="仿宋" w:hint="eastAsia"/>
          <w:bCs/>
          <w:kern w:val="2"/>
          <w:szCs w:val="24"/>
          <w:lang w:eastAsia="zh-CN" w:bidi="ar-SA"/>
        </w:rPr>
        <w:t>（三）客户影像资料不符合规定要求的；</w:t>
      </w:r>
    </w:p>
    <w:p w:rsidR="0095117E" w:rsidRDefault="00EB5038">
      <w:pPr>
        <w:spacing w:after="0" w:line="360" w:lineRule="auto"/>
        <w:ind w:firstLine="420"/>
        <w:rPr>
          <w:rFonts w:ascii="仿宋" w:eastAsia="仿宋" w:hAnsi="仿宋"/>
          <w:bCs/>
          <w:kern w:val="2"/>
          <w:szCs w:val="24"/>
          <w:lang w:eastAsia="zh-CN" w:bidi="ar-SA"/>
        </w:rPr>
      </w:pPr>
      <w:r>
        <w:rPr>
          <w:rFonts w:ascii="仿宋" w:eastAsia="仿宋" w:hAnsi="仿宋" w:hint="eastAsia"/>
          <w:bCs/>
          <w:kern w:val="2"/>
          <w:szCs w:val="24"/>
          <w:lang w:eastAsia="zh-CN" w:bidi="ar-SA"/>
        </w:rPr>
        <w:t>（四）期货开户合同文本填写和签署不符合要求的；</w:t>
      </w:r>
    </w:p>
    <w:p w:rsidR="0095117E" w:rsidRDefault="00EB5038">
      <w:pPr>
        <w:spacing w:after="0" w:line="360" w:lineRule="auto"/>
        <w:ind w:firstLine="420"/>
        <w:rPr>
          <w:rFonts w:ascii="仿宋" w:eastAsia="仿宋" w:hAnsi="仿宋"/>
          <w:bCs/>
          <w:kern w:val="2"/>
          <w:szCs w:val="24"/>
          <w:lang w:eastAsia="zh-CN" w:bidi="ar-SA"/>
        </w:rPr>
      </w:pPr>
      <w:r>
        <w:rPr>
          <w:rFonts w:ascii="仿宋" w:eastAsia="仿宋" w:hAnsi="仿宋" w:hint="eastAsia"/>
          <w:bCs/>
          <w:kern w:val="2"/>
          <w:szCs w:val="24"/>
          <w:lang w:eastAsia="zh-CN" w:bidi="ar-SA"/>
        </w:rPr>
        <w:t>（五）期货开户合同文本中签字明显不符的；</w:t>
      </w:r>
    </w:p>
    <w:p w:rsidR="0095117E" w:rsidRDefault="00EB5038">
      <w:pPr>
        <w:spacing w:after="0" w:line="360" w:lineRule="auto"/>
        <w:ind w:firstLine="420"/>
        <w:rPr>
          <w:rFonts w:ascii="仿宋" w:eastAsia="仿宋" w:hAnsi="仿宋"/>
          <w:bCs/>
          <w:kern w:val="2"/>
          <w:szCs w:val="24"/>
          <w:lang w:eastAsia="zh-CN" w:bidi="ar-SA"/>
        </w:rPr>
      </w:pPr>
      <w:r>
        <w:rPr>
          <w:rFonts w:ascii="仿宋" w:eastAsia="仿宋" w:hAnsi="仿宋" w:hint="eastAsia"/>
          <w:bCs/>
          <w:kern w:val="2"/>
          <w:szCs w:val="24"/>
          <w:lang w:eastAsia="zh-CN" w:bidi="ar-SA"/>
        </w:rPr>
        <w:t>（六）其他属于审核不合格不得办理开立期货资金账户手续的情形。</w:t>
      </w:r>
      <w:bookmarkStart w:id="68" w:name="_Toc302735377"/>
    </w:p>
    <w:p w:rsidR="00000000" w:rsidRDefault="00EB5038" w:rsidP="00DD5597">
      <w:pPr>
        <w:pStyle w:val="12"/>
        <w:spacing w:beforeLines="50" w:afterLines="50" w:line="360" w:lineRule="auto"/>
        <w:ind w:firstLineChars="0" w:firstLine="0"/>
        <w:jc w:val="center"/>
        <w:outlineLvl w:val="0"/>
        <w:rPr>
          <w:rFonts w:ascii="仿宋" w:eastAsia="仿宋" w:hAnsi="仿宋"/>
          <w:b/>
          <w:kern w:val="0"/>
          <w:sz w:val="24"/>
          <w:szCs w:val="24"/>
          <w:lang w:bidi="en-US"/>
        </w:rPr>
      </w:pPr>
      <w:bookmarkStart w:id="69" w:name="_Toc29653"/>
      <w:bookmarkStart w:id="70" w:name="_Toc32629"/>
      <w:bookmarkStart w:id="71" w:name="_Toc8539"/>
      <w:bookmarkStart w:id="72" w:name="_Toc7276"/>
      <w:bookmarkStart w:id="73" w:name="_Toc492286263"/>
      <w:bookmarkStart w:id="74" w:name="_Toc30355"/>
      <w:bookmarkStart w:id="75" w:name="_Toc308173968"/>
      <w:bookmarkStart w:id="76" w:name="_Toc7980"/>
      <w:bookmarkStart w:id="77" w:name="_Toc26069"/>
      <w:bookmarkStart w:id="78" w:name="_Toc23286"/>
      <w:bookmarkStart w:id="79" w:name="_Toc492286298"/>
      <w:r>
        <w:rPr>
          <w:rFonts w:ascii="仿宋" w:eastAsia="仿宋" w:hAnsi="仿宋" w:hint="eastAsia"/>
          <w:b/>
          <w:kern w:val="0"/>
          <w:sz w:val="24"/>
          <w:szCs w:val="24"/>
          <w:lang w:bidi="en-US"/>
        </w:rPr>
        <w:t>第四节 客户信息录入</w:t>
      </w:r>
      <w:bookmarkEnd w:id="68"/>
      <w:bookmarkEnd w:id="69"/>
      <w:bookmarkEnd w:id="70"/>
      <w:bookmarkEnd w:id="71"/>
      <w:bookmarkEnd w:id="72"/>
      <w:bookmarkEnd w:id="73"/>
      <w:bookmarkEnd w:id="74"/>
      <w:bookmarkEnd w:id="75"/>
      <w:bookmarkEnd w:id="76"/>
      <w:bookmarkEnd w:id="77"/>
      <w:bookmarkEnd w:id="78"/>
      <w:bookmarkEnd w:id="79"/>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在客户实名制审核、适当性评估文件签署与视频录制工作完毕后，由开户人员在综合交易平台管理系统中录入客户资料，并将视频资料上传到恒泰期货客户服务部指定服务器。</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客户信息录入操作要点：</w:t>
      </w:r>
    </w:p>
    <w:p w:rsidR="0095117E" w:rsidRDefault="00EB5038">
      <w:pPr>
        <w:spacing w:after="0" w:line="360" w:lineRule="auto"/>
        <w:ind w:firstLine="420"/>
        <w:rPr>
          <w:rFonts w:ascii="仿宋" w:eastAsia="仿宋" w:hAnsi="仿宋"/>
          <w:szCs w:val="24"/>
          <w:lang w:eastAsia="zh-CN"/>
        </w:rPr>
      </w:pPr>
      <w:r>
        <w:rPr>
          <w:rFonts w:ascii="仿宋" w:eastAsia="仿宋" w:hAnsi="仿宋" w:hint="eastAsia"/>
          <w:szCs w:val="24"/>
          <w:lang w:eastAsia="zh-CN"/>
        </w:rPr>
        <w:t>客户资金账号和合同编号在综合交易平台管理系统录入的时候应注意相应的位置，不能颠倒；</w:t>
      </w:r>
    </w:p>
    <w:p w:rsidR="0095117E" w:rsidRDefault="00EB5038">
      <w:pPr>
        <w:spacing w:after="0" w:line="360" w:lineRule="auto"/>
        <w:ind w:firstLine="420"/>
        <w:rPr>
          <w:rFonts w:ascii="仿宋" w:eastAsia="仿宋" w:hAnsi="仿宋"/>
          <w:szCs w:val="24"/>
          <w:lang w:eastAsia="zh-CN"/>
        </w:rPr>
      </w:pPr>
      <w:r>
        <w:rPr>
          <w:rFonts w:ascii="仿宋" w:eastAsia="仿宋" w:hAnsi="仿宋" w:hint="eastAsia"/>
          <w:szCs w:val="24"/>
          <w:lang w:eastAsia="zh-CN"/>
        </w:rPr>
        <w:t>个人身份证号码：应输入18位，首位数应当为1-9，中间应当为0-9，数字间不得有空格，出生月、日分别为01-12、01-31，末位应当为大写字母“X”或0-9的数字；</w:t>
      </w:r>
    </w:p>
    <w:p w:rsidR="0095117E" w:rsidRDefault="00EB5038">
      <w:pPr>
        <w:spacing w:after="0" w:line="360" w:lineRule="auto"/>
        <w:ind w:firstLine="420"/>
        <w:rPr>
          <w:rFonts w:ascii="仿宋" w:eastAsia="仿宋" w:hAnsi="仿宋"/>
          <w:szCs w:val="24"/>
          <w:lang w:eastAsia="zh-CN"/>
        </w:rPr>
      </w:pPr>
      <w:r>
        <w:rPr>
          <w:rFonts w:ascii="仿宋" w:eastAsia="仿宋" w:hAnsi="仿宋" w:hint="eastAsia"/>
          <w:szCs w:val="24"/>
          <w:lang w:eastAsia="zh-CN"/>
        </w:rPr>
        <w:t>姓名（机构名称）：应当完整、准确录入合同涉及所有人员或机构全称及简称，左边及汉字间不得有空格、数字等。</w:t>
      </w:r>
    </w:p>
    <w:p w:rsidR="0095117E" w:rsidRDefault="00EB5038">
      <w:pPr>
        <w:spacing w:after="0" w:line="360" w:lineRule="auto"/>
        <w:ind w:firstLine="420"/>
        <w:rPr>
          <w:rFonts w:ascii="仿宋" w:eastAsia="仿宋" w:hAnsi="仿宋"/>
          <w:szCs w:val="24"/>
          <w:lang w:eastAsia="zh-CN"/>
        </w:rPr>
      </w:pPr>
      <w:r>
        <w:rPr>
          <w:rFonts w:ascii="仿宋" w:eastAsia="仿宋" w:hAnsi="仿宋" w:hint="eastAsia"/>
          <w:szCs w:val="24"/>
          <w:lang w:eastAsia="zh-CN"/>
        </w:rPr>
        <w:t>（一）适当性评估签署的文件材料、合同涉及所有人员的姓名、身份证号根据要求规范录入；</w:t>
      </w:r>
    </w:p>
    <w:p w:rsidR="0095117E" w:rsidRDefault="00EB5038">
      <w:pPr>
        <w:spacing w:after="0" w:line="360" w:lineRule="auto"/>
        <w:ind w:firstLine="420"/>
        <w:rPr>
          <w:rFonts w:ascii="仿宋" w:eastAsia="仿宋" w:hAnsi="仿宋"/>
          <w:szCs w:val="24"/>
          <w:lang w:eastAsia="zh-CN"/>
        </w:rPr>
      </w:pPr>
      <w:r>
        <w:rPr>
          <w:rFonts w:ascii="仿宋" w:eastAsia="仿宋" w:hAnsi="仿宋" w:hint="eastAsia"/>
          <w:szCs w:val="24"/>
          <w:lang w:eastAsia="zh-CN"/>
        </w:rPr>
        <w:lastRenderedPageBreak/>
        <w:t>（二）通讯地址：地址需详细到</w:t>
      </w:r>
      <w:r>
        <w:rPr>
          <w:rFonts w:ascii="仿宋" w:eastAsia="仿宋" w:hAnsi="仿宋"/>
          <w:szCs w:val="24"/>
          <w:lang w:eastAsia="zh-CN"/>
        </w:rPr>
        <w:t>XX</w:t>
      </w:r>
      <w:r>
        <w:rPr>
          <w:rFonts w:ascii="仿宋" w:eastAsia="仿宋" w:hAnsi="仿宋" w:hint="eastAsia"/>
          <w:szCs w:val="24"/>
          <w:lang w:eastAsia="zh-CN"/>
        </w:rPr>
        <w:t>省</w:t>
      </w:r>
      <w:r>
        <w:rPr>
          <w:rFonts w:ascii="仿宋" w:eastAsia="仿宋" w:hAnsi="仿宋"/>
          <w:szCs w:val="24"/>
          <w:lang w:eastAsia="zh-CN"/>
        </w:rPr>
        <w:t>XX</w:t>
      </w:r>
      <w:r>
        <w:rPr>
          <w:rFonts w:ascii="仿宋" w:eastAsia="仿宋" w:hAnsi="仿宋" w:hint="eastAsia"/>
          <w:szCs w:val="24"/>
          <w:lang w:eastAsia="zh-CN"/>
        </w:rPr>
        <w:t>市</w:t>
      </w:r>
      <w:r>
        <w:rPr>
          <w:rFonts w:ascii="仿宋" w:eastAsia="仿宋" w:hAnsi="仿宋"/>
          <w:szCs w:val="24"/>
          <w:lang w:eastAsia="zh-CN"/>
        </w:rPr>
        <w:t>XXXXXXXX</w:t>
      </w:r>
      <w:r>
        <w:rPr>
          <w:rFonts w:ascii="仿宋" w:eastAsia="仿宋" w:hAnsi="仿宋" w:hint="eastAsia"/>
          <w:szCs w:val="24"/>
          <w:lang w:eastAsia="zh-CN"/>
        </w:rPr>
        <w:t>路</w:t>
      </w:r>
      <w:r>
        <w:rPr>
          <w:rFonts w:ascii="仿宋" w:eastAsia="仿宋" w:hAnsi="仿宋"/>
          <w:szCs w:val="24"/>
          <w:lang w:eastAsia="zh-CN"/>
        </w:rPr>
        <w:t>XX</w:t>
      </w:r>
      <w:r>
        <w:rPr>
          <w:rFonts w:ascii="仿宋" w:eastAsia="仿宋" w:hAnsi="仿宋" w:hint="eastAsia"/>
          <w:szCs w:val="24"/>
          <w:lang w:eastAsia="zh-CN"/>
        </w:rPr>
        <w:t>弄</w:t>
      </w:r>
      <w:r>
        <w:rPr>
          <w:rFonts w:ascii="仿宋" w:eastAsia="仿宋" w:hAnsi="仿宋"/>
          <w:szCs w:val="24"/>
          <w:lang w:eastAsia="zh-CN"/>
        </w:rPr>
        <w:t>XX</w:t>
      </w:r>
      <w:r>
        <w:rPr>
          <w:rFonts w:ascii="仿宋" w:eastAsia="仿宋" w:hAnsi="仿宋" w:hint="eastAsia"/>
          <w:szCs w:val="24"/>
          <w:lang w:eastAsia="zh-CN"/>
        </w:rPr>
        <w:t>号。邮政编码：应为</w:t>
      </w:r>
      <w:r>
        <w:rPr>
          <w:rFonts w:ascii="仿宋" w:eastAsia="仿宋" w:hAnsi="仿宋"/>
          <w:szCs w:val="24"/>
          <w:lang w:eastAsia="zh-CN"/>
        </w:rPr>
        <w:t>0-9</w:t>
      </w:r>
      <w:r>
        <w:rPr>
          <w:rFonts w:ascii="仿宋" w:eastAsia="仿宋" w:hAnsi="仿宋" w:hint="eastAsia"/>
          <w:szCs w:val="24"/>
          <w:lang w:eastAsia="zh-CN"/>
        </w:rPr>
        <w:t>的</w:t>
      </w:r>
      <w:r>
        <w:rPr>
          <w:rFonts w:ascii="仿宋" w:eastAsia="仿宋" w:hAnsi="仿宋"/>
          <w:szCs w:val="24"/>
          <w:lang w:eastAsia="zh-CN"/>
        </w:rPr>
        <w:t>6</w:t>
      </w:r>
      <w:r>
        <w:rPr>
          <w:rFonts w:ascii="仿宋" w:eastAsia="仿宋" w:hAnsi="仿宋" w:hint="eastAsia"/>
          <w:szCs w:val="24"/>
          <w:lang w:eastAsia="zh-CN"/>
        </w:rPr>
        <w:t>位数字，中间不得夹杂其他字符或空格。电话号码：区号</w:t>
      </w:r>
      <w:r>
        <w:rPr>
          <w:rFonts w:ascii="仿宋" w:eastAsia="仿宋" w:hAnsi="仿宋"/>
          <w:szCs w:val="24"/>
          <w:lang w:eastAsia="zh-CN"/>
        </w:rPr>
        <w:t>+</w:t>
      </w:r>
      <w:r>
        <w:rPr>
          <w:rFonts w:ascii="仿宋" w:eastAsia="仿宋" w:hAnsi="仿宋" w:hint="eastAsia"/>
          <w:szCs w:val="24"/>
          <w:lang w:eastAsia="zh-CN"/>
        </w:rPr>
        <w:t>电话号码，中间用“</w:t>
      </w:r>
      <w:r>
        <w:rPr>
          <w:rFonts w:ascii="仿宋" w:eastAsia="仿宋" w:hAnsi="仿宋"/>
          <w:szCs w:val="24"/>
          <w:lang w:eastAsia="zh-CN"/>
        </w:rPr>
        <w:t>-</w:t>
      </w:r>
      <w:r>
        <w:rPr>
          <w:rFonts w:ascii="仿宋" w:eastAsia="仿宋" w:hAnsi="仿宋" w:hint="eastAsia"/>
          <w:szCs w:val="24"/>
          <w:lang w:eastAsia="zh-CN"/>
        </w:rPr>
        <w:t>”连接；</w:t>
      </w:r>
    </w:p>
    <w:p w:rsidR="0095117E" w:rsidRDefault="00EB5038">
      <w:pPr>
        <w:spacing w:after="0" w:line="360" w:lineRule="auto"/>
        <w:ind w:firstLine="420"/>
        <w:rPr>
          <w:rFonts w:ascii="仿宋" w:eastAsia="仿宋" w:hAnsi="仿宋"/>
          <w:szCs w:val="24"/>
          <w:lang w:eastAsia="zh-CN"/>
        </w:rPr>
      </w:pPr>
      <w:r>
        <w:rPr>
          <w:rFonts w:ascii="仿宋" w:eastAsia="仿宋" w:hAnsi="仿宋" w:hint="eastAsia"/>
          <w:szCs w:val="24"/>
          <w:lang w:eastAsia="zh-CN"/>
        </w:rPr>
        <w:t>（三）客户</w:t>
      </w:r>
      <w:r>
        <w:rPr>
          <w:rFonts w:ascii="仿宋" w:eastAsia="仿宋" w:hAnsi="仿宋"/>
          <w:szCs w:val="24"/>
          <w:lang w:eastAsia="zh-CN"/>
        </w:rPr>
        <w:t>E-MAIL</w:t>
      </w:r>
      <w:r>
        <w:rPr>
          <w:rFonts w:ascii="仿宋" w:eastAsia="仿宋" w:hAnsi="仿宋" w:hint="eastAsia"/>
          <w:szCs w:val="24"/>
          <w:lang w:eastAsia="zh-CN"/>
        </w:rPr>
        <w:t>的填写应当合乎邮箱规则，由数字和英文及</w:t>
      </w:r>
      <w:r>
        <w:rPr>
          <w:rFonts w:ascii="仿宋" w:eastAsia="仿宋" w:hAnsi="仿宋"/>
          <w:szCs w:val="24"/>
          <w:lang w:eastAsia="zh-CN"/>
        </w:rPr>
        <w:t>@</w:t>
      </w:r>
      <w:r>
        <w:rPr>
          <w:rFonts w:ascii="仿宋" w:eastAsia="仿宋" w:hAnsi="仿宋" w:hint="eastAsia"/>
          <w:szCs w:val="24"/>
          <w:lang w:eastAsia="zh-CN"/>
        </w:rPr>
        <w:t>组成；</w:t>
      </w:r>
    </w:p>
    <w:p w:rsidR="0095117E" w:rsidRDefault="00EB5038">
      <w:pPr>
        <w:spacing w:after="0" w:line="360" w:lineRule="auto"/>
        <w:ind w:firstLine="420"/>
        <w:rPr>
          <w:rFonts w:ascii="仿宋" w:eastAsia="仿宋" w:hAnsi="仿宋"/>
          <w:szCs w:val="24"/>
          <w:lang w:eastAsia="zh-CN"/>
        </w:rPr>
      </w:pPr>
      <w:r>
        <w:rPr>
          <w:rFonts w:ascii="仿宋" w:eastAsia="仿宋" w:hAnsi="仿宋" w:hint="eastAsia"/>
          <w:szCs w:val="24"/>
          <w:lang w:eastAsia="zh-CN"/>
        </w:rPr>
        <w:t>（四）开户人员将客户信息录入综合交易平台管理系统，经协助风控岗进行复核后提交。恒泰期货开户人员再次审核通过后，由恒泰期货向各交易所申请交易编码。</w:t>
      </w:r>
    </w:p>
    <w:p w:rsidR="0095117E" w:rsidRDefault="00EB5038">
      <w:pPr>
        <w:spacing w:after="0" w:line="360" w:lineRule="auto"/>
        <w:ind w:firstLine="420"/>
        <w:rPr>
          <w:rFonts w:ascii="仿宋" w:eastAsia="仿宋" w:hAnsi="仿宋"/>
          <w:szCs w:val="24"/>
          <w:lang w:eastAsia="zh-CN"/>
        </w:rPr>
      </w:pPr>
      <w:r>
        <w:rPr>
          <w:rFonts w:ascii="仿宋" w:eastAsia="仿宋" w:hAnsi="仿宋" w:hint="eastAsia"/>
          <w:szCs w:val="24"/>
          <w:lang w:eastAsia="zh-CN"/>
        </w:rPr>
        <w:t>初始交易密码和资金密码，使用期货公司默认密码。</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普通投资者适当性评估评估视频资料上传操作要点：</w:t>
      </w:r>
    </w:p>
    <w:p w:rsidR="0095117E" w:rsidRDefault="00EE0FB3">
      <w:pPr>
        <w:spacing w:after="0" w:line="360" w:lineRule="auto"/>
        <w:ind w:firstLineChars="200" w:firstLine="480"/>
        <w:rPr>
          <w:rFonts w:ascii="仿宋" w:eastAsia="仿宋" w:hAnsi="仿宋"/>
          <w:bCs/>
          <w:kern w:val="2"/>
          <w:szCs w:val="24"/>
          <w:highlight w:val="yellow"/>
          <w:lang w:eastAsia="zh-CN" w:bidi="ar-SA"/>
        </w:rPr>
      </w:pPr>
      <w:r>
        <w:rPr>
          <w:rFonts w:ascii="仿宋" w:eastAsia="仿宋" w:hAnsi="仿宋" w:hint="eastAsia"/>
          <w:bCs/>
          <w:kern w:val="2"/>
          <w:szCs w:val="24"/>
          <w:lang w:eastAsia="zh-CN" w:bidi="ar-SA"/>
        </w:rPr>
        <w:t>证券公司</w:t>
      </w:r>
      <w:r w:rsidR="00EB5038">
        <w:rPr>
          <w:rFonts w:ascii="仿宋" w:eastAsia="仿宋" w:hAnsi="仿宋" w:hint="eastAsia"/>
          <w:bCs/>
          <w:kern w:val="2"/>
          <w:szCs w:val="24"/>
          <w:lang w:eastAsia="zh-CN" w:bidi="ar-SA"/>
        </w:rPr>
        <w:t>IB营业部协助开户人员</w:t>
      </w:r>
      <w:r w:rsidR="00EB5038">
        <w:rPr>
          <w:rFonts w:ascii="仿宋" w:eastAsia="仿宋" w:hAnsi="仿宋" w:hint="eastAsia"/>
          <w:szCs w:val="24"/>
          <w:lang w:eastAsia="zh-CN"/>
        </w:rPr>
        <w:t>在确定普通投资者适当性评估视频录制完整且无误之后将视频资料</w:t>
      </w:r>
      <w:r w:rsidR="00EB5038">
        <w:rPr>
          <w:rFonts w:ascii="仿宋" w:eastAsia="仿宋" w:hAnsi="仿宋" w:hint="eastAsia"/>
          <w:bCs/>
          <w:kern w:val="2"/>
          <w:szCs w:val="24"/>
          <w:lang w:eastAsia="zh-CN" w:bidi="ar-SA"/>
        </w:rPr>
        <w:t>上传到恒泰期货客户服务部指定服务器</w:t>
      </w:r>
      <w:r w:rsidR="00EB5038">
        <w:rPr>
          <w:rFonts w:ascii="仿宋" w:eastAsia="仿宋" w:hAnsi="仿宋" w:hint="eastAsia"/>
          <w:szCs w:val="24"/>
          <w:lang w:eastAsia="zh-CN"/>
        </w:rPr>
        <w:t>。</w:t>
      </w:r>
    </w:p>
    <w:p w:rsidR="0095117E" w:rsidRDefault="00EE0FB3">
      <w:pPr>
        <w:spacing w:after="0" w:line="360" w:lineRule="auto"/>
        <w:ind w:firstLineChars="200" w:firstLine="480"/>
        <w:rPr>
          <w:rFonts w:ascii="仿宋" w:eastAsia="仿宋" w:hAnsi="仿宋"/>
          <w:szCs w:val="24"/>
          <w:lang w:eastAsia="zh-CN"/>
        </w:rPr>
      </w:pPr>
      <w:r>
        <w:rPr>
          <w:rFonts w:ascii="仿宋" w:eastAsia="仿宋" w:hAnsi="仿宋" w:hint="eastAsia"/>
          <w:bCs/>
          <w:kern w:val="2"/>
          <w:szCs w:val="24"/>
          <w:lang w:eastAsia="zh-CN" w:bidi="ar-SA"/>
        </w:rPr>
        <w:t>证券公司</w:t>
      </w:r>
      <w:r w:rsidR="00EB5038">
        <w:rPr>
          <w:rFonts w:ascii="仿宋" w:eastAsia="仿宋" w:hAnsi="仿宋"/>
          <w:bCs/>
          <w:kern w:val="2"/>
          <w:szCs w:val="24"/>
          <w:lang w:eastAsia="zh-CN" w:bidi="ar-SA"/>
        </w:rPr>
        <w:t>IB</w:t>
      </w:r>
      <w:r w:rsidR="00EB5038">
        <w:rPr>
          <w:rFonts w:ascii="仿宋" w:eastAsia="仿宋" w:hAnsi="仿宋" w:hint="eastAsia"/>
          <w:bCs/>
          <w:kern w:val="2"/>
          <w:szCs w:val="24"/>
          <w:lang w:eastAsia="zh-CN" w:bidi="ar-SA"/>
        </w:rPr>
        <w:t>营业部客户资料及影像资料提交后</w:t>
      </w:r>
      <w:r w:rsidR="00EB5038">
        <w:rPr>
          <w:rFonts w:ascii="仿宋" w:eastAsia="仿宋" w:hAnsi="仿宋" w:hint="eastAsia"/>
          <w:szCs w:val="24"/>
          <w:lang w:eastAsia="zh-CN"/>
        </w:rPr>
        <w:t>，恒泰期货客户服务部审核通过后方可进行后续开户流程。</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客户因实名制问题或其他特殊原因未通过期货市场监控中心的实名制审核导致交易编码申请失败的处理流程：</w:t>
      </w:r>
    </w:p>
    <w:p w:rsidR="0095117E" w:rsidRDefault="00EB5038">
      <w:pPr>
        <w:spacing w:after="0" w:line="360" w:lineRule="auto"/>
        <w:ind w:firstLine="420"/>
        <w:rPr>
          <w:rFonts w:ascii="仿宋" w:eastAsia="仿宋" w:hAnsi="仿宋"/>
          <w:bCs/>
          <w:kern w:val="2"/>
          <w:szCs w:val="24"/>
          <w:lang w:eastAsia="zh-CN" w:bidi="ar-SA"/>
        </w:rPr>
      </w:pPr>
      <w:r>
        <w:rPr>
          <w:rFonts w:ascii="仿宋" w:eastAsia="仿宋" w:hAnsi="仿宋" w:hint="eastAsia"/>
          <w:bCs/>
          <w:kern w:val="2"/>
          <w:szCs w:val="24"/>
          <w:lang w:eastAsia="zh-CN" w:bidi="ar-SA"/>
        </w:rPr>
        <w:t>（一）</w:t>
      </w:r>
      <w:r w:rsidR="00EE0FB3">
        <w:rPr>
          <w:rFonts w:ascii="仿宋" w:eastAsia="仿宋" w:hAnsi="仿宋" w:hint="eastAsia"/>
          <w:bCs/>
          <w:kern w:val="2"/>
          <w:szCs w:val="24"/>
          <w:lang w:eastAsia="zh-CN" w:bidi="ar-SA"/>
        </w:rPr>
        <w:t>证券公司</w:t>
      </w:r>
      <w:r>
        <w:rPr>
          <w:rFonts w:ascii="仿宋" w:eastAsia="仿宋" w:hAnsi="仿宋" w:hint="eastAsia"/>
          <w:bCs/>
          <w:kern w:val="2"/>
          <w:szCs w:val="24"/>
          <w:lang w:eastAsia="zh-CN" w:bidi="ar-SA"/>
        </w:rPr>
        <w:t>IB营业部应根据恒泰期货要求提示客户及时提交证实客户身份信息真实有效的证明文件（户口本或由当地户籍机关开具的加盖当地户籍机关公章的客户姓名和身份证号码正确的证明文件）；</w:t>
      </w:r>
    </w:p>
    <w:p w:rsidR="0095117E" w:rsidRDefault="00EB5038">
      <w:pPr>
        <w:spacing w:after="0" w:line="360" w:lineRule="auto"/>
        <w:ind w:firstLine="420"/>
        <w:rPr>
          <w:rFonts w:ascii="仿宋" w:eastAsia="仿宋" w:hAnsi="仿宋"/>
          <w:bCs/>
          <w:kern w:val="2"/>
          <w:szCs w:val="24"/>
          <w:lang w:eastAsia="zh-CN" w:bidi="ar-SA"/>
        </w:rPr>
      </w:pPr>
      <w:r>
        <w:rPr>
          <w:rFonts w:ascii="仿宋" w:eastAsia="仿宋" w:hAnsi="仿宋" w:hint="eastAsia"/>
          <w:bCs/>
          <w:kern w:val="2"/>
          <w:szCs w:val="24"/>
          <w:lang w:eastAsia="zh-CN" w:bidi="ar-SA"/>
        </w:rPr>
        <w:t>（二）协助开户岗审核后，传真至恒泰期货客户服务部，并由恒泰期货客户服务部盖章后将其传真至保证金监控中心完成开户流程；</w:t>
      </w:r>
    </w:p>
    <w:p w:rsidR="0095117E" w:rsidRDefault="00EB5038">
      <w:pPr>
        <w:spacing w:after="0" w:line="360" w:lineRule="auto"/>
        <w:ind w:firstLine="420"/>
        <w:rPr>
          <w:rFonts w:ascii="仿宋" w:eastAsia="仿宋" w:hAnsi="仿宋"/>
          <w:bCs/>
          <w:kern w:val="2"/>
          <w:szCs w:val="24"/>
          <w:lang w:eastAsia="zh-CN" w:bidi="ar-SA"/>
        </w:rPr>
      </w:pPr>
      <w:r>
        <w:rPr>
          <w:rFonts w:ascii="仿宋" w:eastAsia="仿宋" w:hAnsi="仿宋" w:hint="eastAsia"/>
          <w:bCs/>
          <w:kern w:val="2"/>
          <w:szCs w:val="24"/>
          <w:lang w:eastAsia="zh-CN" w:bidi="ar-SA"/>
        </w:rPr>
        <w:t>（三）客户放弃开户，协助开户岗在合同台账标注放弃开户原因，同时在《期货经纪合同》封面上标注放弃原因和“作废”字样后将合同寄回恒泰期货客户服务部。</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客户因在多家期货公司存在多个交易编码导致某个交易所交易编码（郑州商品交易所）申请失败的处理流程：</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hint="eastAsia"/>
          <w:bCs/>
          <w:kern w:val="2"/>
          <w:szCs w:val="24"/>
          <w:lang w:eastAsia="zh-CN" w:bidi="ar-SA"/>
        </w:rPr>
        <w:t>（一）客户必须在三个交易日内自行联系其他的期货公司办理交易编码注销手续后，方可为其申请交易编码；</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hint="eastAsia"/>
          <w:bCs/>
          <w:kern w:val="2"/>
          <w:szCs w:val="24"/>
          <w:lang w:eastAsia="zh-CN" w:bidi="ar-SA"/>
        </w:rPr>
        <w:lastRenderedPageBreak/>
        <w:t>（二）客户放弃申请该交易所交易编码或拖延不进行办理的时间超过</w:t>
      </w:r>
      <w:r>
        <w:rPr>
          <w:rFonts w:ascii="仿宋" w:eastAsia="仿宋" w:hAnsi="仿宋"/>
          <w:bCs/>
          <w:kern w:val="2"/>
          <w:szCs w:val="24"/>
          <w:lang w:eastAsia="zh-CN" w:bidi="ar-SA"/>
        </w:rPr>
        <w:t>1</w:t>
      </w:r>
      <w:r>
        <w:rPr>
          <w:rFonts w:ascii="仿宋" w:eastAsia="仿宋" w:hAnsi="仿宋" w:hint="eastAsia"/>
          <w:bCs/>
          <w:kern w:val="2"/>
          <w:szCs w:val="24"/>
          <w:lang w:eastAsia="zh-CN" w:bidi="ar-SA"/>
        </w:rPr>
        <w:t>周，则无法开通该交易所交易权限。</w:t>
      </w:r>
    </w:p>
    <w:p w:rsidR="00000000" w:rsidRDefault="00EB5038" w:rsidP="00DD5597">
      <w:pPr>
        <w:pStyle w:val="12"/>
        <w:spacing w:beforeLines="50" w:afterLines="50" w:line="360" w:lineRule="auto"/>
        <w:ind w:firstLineChars="0" w:firstLine="0"/>
        <w:jc w:val="center"/>
        <w:outlineLvl w:val="0"/>
        <w:rPr>
          <w:rFonts w:ascii="仿宋" w:eastAsia="仿宋" w:hAnsi="仿宋"/>
          <w:b/>
          <w:kern w:val="0"/>
          <w:sz w:val="24"/>
          <w:szCs w:val="24"/>
          <w:lang w:bidi="en-US"/>
        </w:rPr>
      </w:pPr>
      <w:bookmarkStart w:id="80" w:name="_Toc302735378"/>
      <w:bookmarkStart w:id="81" w:name="_Toc308173969"/>
      <w:bookmarkStart w:id="82" w:name="_Toc1652"/>
      <w:r>
        <w:rPr>
          <w:rFonts w:ascii="仿宋" w:eastAsia="仿宋" w:hAnsi="仿宋" w:hint="eastAsia"/>
          <w:b/>
          <w:kern w:val="0"/>
          <w:sz w:val="24"/>
          <w:szCs w:val="24"/>
          <w:lang w:bidi="en-US"/>
        </w:rPr>
        <w:t xml:space="preserve">第五节 </w:t>
      </w:r>
      <w:bookmarkStart w:id="83" w:name="_Toc308173970"/>
      <w:bookmarkStart w:id="84" w:name="_Toc302735379"/>
      <w:bookmarkEnd w:id="80"/>
      <w:bookmarkEnd w:id="81"/>
      <w:r>
        <w:rPr>
          <w:rFonts w:ascii="仿宋" w:eastAsia="仿宋" w:hAnsi="仿宋" w:hint="eastAsia"/>
          <w:b/>
          <w:kern w:val="0"/>
          <w:sz w:val="24"/>
          <w:szCs w:val="24"/>
          <w:lang w:bidi="en-US"/>
        </w:rPr>
        <w:t>合同传递</w:t>
      </w:r>
      <w:bookmarkEnd w:id="82"/>
      <w:bookmarkEnd w:id="83"/>
      <w:bookmarkEnd w:id="84"/>
    </w:p>
    <w:p w:rsidR="0095117E" w:rsidRDefault="00EE0FB3">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证券公司</w:t>
      </w:r>
      <w:r w:rsidR="00EB5038">
        <w:rPr>
          <w:rFonts w:ascii="仿宋" w:eastAsia="仿宋" w:hAnsi="仿宋" w:hint="eastAsia"/>
          <w:bCs/>
          <w:kern w:val="2"/>
          <w:szCs w:val="24"/>
          <w:lang w:eastAsia="zh-CN" w:bidi="ar-SA"/>
        </w:rPr>
        <w:t>IB营业部应每周将法人客户签署和填写完整的《期货经纪合同》（一式三份）及其附件寄回恒泰期货客户服务部，恒泰期货客户服务部对其进行审核、签字、盖章、归档。其中一份由客户服务部归档保存，其余两份寄回</w:t>
      </w:r>
      <w:r>
        <w:rPr>
          <w:rFonts w:ascii="仿宋" w:eastAsia="仿宋" w:hAnsi="仿宋" w:hint="eastAsia"/>
          <w:bCs/>
          <w:kern w:val="2"/>
          <w:szCs w:val="24"/>
          <w:lang w:eastAsia="zh-CN" w:bidi="ar-SA"/>
        </w:rPr>
        <w:t>证券公司</w:t>
      </w:r>
      <w:r w:rsidR="00EB5038">
        <w:rPr>
          <w:rFonts w:ascii="仿宋" w:eastAsia="仿宋" w:hAnsi="仿宋" w:hint="eastAsia"/>
          <w:bCs/>
          <w:kern w:val="2"/>
          <w:szCs w:val="24"/>
          <w:lang w:eastAsia="zh-CN" w:bidi="ar-SA"/>
        </w:rPr>
        <w:t>IB营业部。</w:t>
      </w:r>
      <w:r>
        <w:rPr>
          <w:rFonts w:ascii="仿宋" w:eastAsia="仿宋" w:hAnsi="仿宋" w:hint="eastAsia"/>
          <w:bCs/>
          <w:kern w:val="2"/>
          <w:szCs w:val="24"/>
          <w:lang w:eastAsia="zh-CN" w:bidi="ar-SA"/>
        </w:rPr>
        <w:t>证券公司</w:t>
      </w:r>
      <w:r w:rsidR="00EB5038">
        <w:rPr>
          <w:rFonts w:ascii="仿宋" w:eastAsia="仿宋" w:hAnsi="仿宋" w:hint="eastAsia"/>
          <w:bCs/>
          <w:kern w:val="2"/>
          <w:szCs w:val="24"/>
          <w:lang w:eastAsia="zh-CN" w:bidi="ar-SA"/>
        </w:rPr>
        <w:t>IB营业部收到合同后，一份由</w:t>
      </w:r>
      <w:r>
        <w:rPr>
          <w:rFonts w:ascii="仿宋" w:eastAsia="仿宋" w:hAnsi="仿宋" w:hint="eastAsia"/>
          <w:bCs/>
          <w:kern w:val="2"/>
          <w:szCs w:val="24"/>
          <w:lang w:eastAsia="zh-CN" w:bidi="ar-SA"/>
        </w:rPr>
        <w:t>证券公司</w:t>
      </w:r>
      <w:r w:rsidR="00EB5038">
        <w:rPr>
          <w:rFonts w:ascii="仿宋" w:eastAsia="仿宋" w:hAnsi="仿宋" w:hint="eastAsia"/>
          <w:bCs/>
          <w:kern w:val="2"/>
          <w:szCs w:val="24"/>
          <w:lang w:eastAsia="zh-CN" w:bidi="ar-SA"/>
        </w:rPr>
        <w:t>IB营业部保存，另一份转交客户留存；通过互联网开户无需填写纸质版《期货经纪合同》。</w:t>
      </w:r>
    </w:p>
    <w:p w:rsidR="00000000" w:rsidRDefault="00EB5038" w:rsidP="00DD5597">
      <w:pPr>
        <w:pStyle w:val="12"/>
        <w:spacing w:beforeLines="50" w:afterLines="50" w:line="360" w:lineRule="auto"/>
        <w:ind w:firstLineChars="0" w:firstLine="0"/>
        <w:jc w:val="center"/>
        <w:outlineLvl w:val="0"/>
        <w:rPr>
          <w:rFonts w:ascii="仿宋" w:eastAsia="仿宋" w:hAnsi="仿宋"/>
          <w:b/>
          <w:kern w:val="0"/>
          <w:sz w:val="24"/>
          <w:szCs w:val="24"/>
          <w:lang w:bidi="en-US"/>
        </w:rPr>
      </w:pPr>
      <w:bookmarkStart w:id="85" w:name="_Toc12458"/>
      <w:bookmarkStart w:id="86" w:name="_Toc492286299"/>
      <w:bookmarkStart w:id="87" w:name="_Toc263"/>
      <w:bookmarkStart w:id="88" w:name="_Toc492286264"/>
      <w:bookmarkStart w:id="89" w:name="_Toc17679"/>
      <w:bookmarkStart w:id="90" w:name="_Toc6708"/>
      <w:bookmarkStart w:id="91" w:name="_Toc10118"/>
      <w:bookmarkStart w:id="92" w:name="_Toc11288"/>
      <w:bookmarkStart w:id="93" w:name="_Toc13678"/>
      <w:r>
        <w:rPr>
          <w:rFonts w:ascii="仿宋" w:eastAsia="仿宋" w:hAnsi="仿宋" w:hint="eastAsia"/>
          <w:b/>
          <w:kern w:val="0"/>
          <w:sz w:val="24"/>
          <w:szCs w:val="24"/>
          <w:lang w:bidi="en-US"/>
        </w:rPr>
        <w:t>第六节 互联网开户流程</w:t>
      </w:r>
      <w:bookmarkEnd w:id="85"/>
      <w:bookmarkEnd w:id="86"/>
      <w:bookmarkEnd w:id="87"/>
      <w:bookmarkEnd w:id="88"/>
      <w:bookmarkEnd w:id="89"/>
      <w:bookmarkEnd w:id="90"/>
      <w:bookmarkEnd w:id="91"/>
      <w:bookmarkEnd w:id="92"/>
      <w:bookmarkEnd w:id="93"/>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自然人投资者可通过中国期货市场监控中心期货开户云或恒泰期货APP完成开户。</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自然人客户</w:t>
      </w:r>
      <w:r>
        <w:rPr>
          <w:rFonts w:ascii="仿宋" w:eastAsia="仿宋" w:hAnsi="仿宋"/>
          <w:bCs/>
          <w:kern w:val="2"/>
          <w:szCs w:val="24"/>
          <w:lang w:eastAsia="zh-CN" w:bidi="ar-SA"/>
        </w:rPr>
        <w:t>输入手机号</w:t>
      </w:r>
      <w:r>
        <w:rPr>
          <w:rFonts w:ascii="仿宋" w:eastAsia="仿宋" w:hAnsi="仿宋" w:hint="eastAsia"/>
          <w:bCs/>
          <w:kern w:val="2"/>
          <w:szCs w:val="24"/>
          <w:lang w:eastAsia="zh-CN" w:bidi="ar-SA"/>
        </w:rPr>
        <w:t>及图片验证码</w:t>
      </w:r>
      <w:r>
        <w:rPr>
          <w:rFonts w:ascii="仿宋" w:eastAsia="仿宋" w:hAnsi="仿宋"/>
          <w:bCs/>
          <w:kern w:val="2"/>
          <w:szCs w:val="24"/>
          <w:lang w:eastAsia="zh-CN" w:bidi="ar-SA"/>
        </w:rPr>
        <w:t>，点击获取验证码</w:t>
      </w:r>
      <w:r>
        <w:rPr>
          <w:rFonts w:ascii="仿宋" w:eastAsia="仿宋" w:hAnsi="仿宋" w:hint="eastAsia"/>
          <w:bCs/>
          <w:kern w:val="2"/>
          <w:szCs w:val="24"/>
          <w:lang w:eastAsia="zh-CN" w:bidi="ar-SA"/>
        </w:rPr>
        <w:t>后输入并验证登录、阅读开户协议（填写《普通投资者风险承受能力调查问卷填写说明》、《产品或服务风险等级名录》、《客户须知》、《期货交易风险说明书》、《期货经纪合同》、《恒泰期货客户手续费标准》、《个人税收居民身份声明书》）、按照实名制开户的要求上传身份证正、反面彩色图片及手写签名照（白纸上签名后拍照）、选择营业部后完善联系地址、联系电话等基本信息、上传银行卡信息、投资者适当性类型选择、账户类型选择后通过期货开户云系统或恒泰期货APP发起视频验证申请。</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视频见证人员接到客户视频申请后为客户办理视频见证，进行实时视频通话并录像，保存同步记录，同时采集客户头部正面照。</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视频见证人员需严格执行视频见证的操作流程，认真、谨慎地核实申请人身份信息。包括但不限于：</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（1）验证客户提供的身份证图片和本人头部正面照清晰有效；</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（2）检查身份证图片和客户拍摄的头像是同一人；</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 xml:space="preserve">（3）检查客户提供的证件是否在有效期内； </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lastRenderedPageBreak/>
        <w:t>（4）连接全国公民身份信息查询服务系统，对客户提交的身份证号码和姓名进行验证（如全国公民身份信息查询服务系统能够反馈身份证照片，应检查客户上传的身份证图片和全国公民身份信息查询服务系统反馈的身份证照片是否一致，如不一致则验证不通过；如全国公民身份信息查询服务系统未能反馈身份证照片，若反馈结果姓名与身份证号码一致，且能够确认视频中的客户与客户上传的照片是同一人时，可验证通过，否则则不能通过验证。</w:t>
      </w:r>
    </w:p>
    <w:p w:rsidR="0095117E" w:rsidRDefault="00EB5038">
      <w:pPr>
        <w:widowControl w:val="0"/>
        <w:numPr>
          <w:ilvl w:val="0"/>
          <w:numId w:val="1"/>
        </w:numPr>
        <w:spacing w:after="0" w:line="360" w:lineRule="auto"/>
        <w:ind w:left="0" w:firstLineChars="200" w:firstLine="480"/>
        <w:jc w:val="both"/>
        <w:rPr>
          <w:rFonts w:ascii="仿宋" w:eastAsia="仿宋" w:hAnsi="仿宋"/>
          <w:szCs w:val="24"/>
          <w:lang w:eastAsia="zh-CN"/>
        </w:rPr>
      </w:pPr>
      <w:r>
        <w:rPr>
          <w:rFonts w:ascii="仿宋" w:eastAsia="仿宋" w:hAnsi="仿宋" w:hint="eastAsia"/>
          <w:bCs/>
          <w:kern w:val="2"/>
          <w:szCs w:val="24"/>
          <w:lang w:eastAsia="zh-CN" w:bidi="ar-SA"/>
        </w:rPr>
        <w:t>视频见证人员修改客户身份信息时需得到客户确认。</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视频见证人员对客户进行实时视频审核，审核及视频通话内容包括但不限于：</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（1）通过比对客户提供的身份证图片，确保视频对象是同一人；</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（2）在视频审核过程中，客户应持本人身份证出现在视频采集镜头中，所持身份证与上传的身份证图像必须一致；</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（3）核实客户是否本人开户；</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（4）核实开户是否为客户本人意愿；</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（5）确认客户是否阅读并完全理解《期货交易风险说明书》、《客户须知》、《期货经纪合同》等相关内容；</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（6）确认期货账户是否是由本人操作，确认客户是否已经知晓期货交易所存在的风险并有能力承担这些风险等相关内容；</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（7）对存在居间人的客户确认居间人信息，并进行风险提示。</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完成视频验证后系统为客户颁发数字证书，客户通过证书认证进入后续流程。</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签署协议及附件：</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（一）《普通投资者风险承受能力调查问卷填写说明》；</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（二）《产品或服务风险等级名录》；</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（三）《普通投资者特别风险警示书》（匹配时填写）；</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（四）《普通投资者适当性匹配意见告知书》（匹配时填写）；</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（五）《普通投资者特别风险警示书》（不匹配时填写）；</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lastRenderedPageBreak/>
        <w:t>（六）《普通投资者购买高于自身风险承受能力产品或者服务的特别风险警示书》（不匹配时填写）；</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（七）《客户须知》；</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（八）《期货交易风险说明书》；</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（九）《期货经纪合同》；</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（十）《客户手续费标准》；</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（十一）《个人税收居民身份声明书》；</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（十二）《数字证书用户责任书》。</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客户完成自助回访后递交开户申请，开户成功以后会收到系统自动发送的开户短信。</w:t>
      </w:r>
      <w:bookmarkStart w:id="94" w:name="_Toc23411"/>
      <w:bookmarkStart w:id="95" w:name="_Toc13084"/>
      <w:bookmarkStart w:id="96" w:name="_Toc24351"/>
      <w:bookmarkStart w:id="97" w:name="_Toc21499"/>
      <w:bookmarkStart w:id="98" w:name="_Toc492286300"/>
      <w:bookmarkStart w:id="99" w:name="_Toc30369"/>
      <w:bookmarkStart w:id="100" w:name="_Toc492286265"/>
      <w:bookmarkStart w:id="101" w:name="_Toc905"/>
    </w:p>
    <w:p w:rsidR="00000000" w:rsidRDefault="00EB5038" w:rsidP="00DD5597">
      <w:pPr>
        <w:pStyle w:val="12"/>
        <w:spacing w:beforeLines="50" w:afterLines="50" w:line="360" w:lineRule="auto"/>
        <w:ind w:firstLineChars="0" w:firstLine="0"/>
        <w:jc w:val="center"/>
        <w:outlineLvl w:val="0"/>
        <w:rPr>
          <w:rFonts w:ascii="仿宋" w:eastAsia="仿宋" w:hAnsi="仿宋"/>
          <w:b/>
          <w:kern w:val="0"/>
          <w:sz w:val="24"/>
          <w:szCs w:val="24"/>
          <w:lang w:bidi="en-US"/>
        </w:rPr>
      </w:pPr>
      <w:bookmarkStart w:id="102" w:name="_Toc14189"/>
      <w:r>
        <w:rPr>
          <w:rFonts w:ascii="仿宋" w:eastAsia="仿宋" w:hAnsi="仿宋" w:hint="eastAsia"/>
          <w:b/>
          <w:kern w:val="0"/>
          <w:sz w:val="24"/>
          <w:szCs w:val="24"/>
          <w:lang w:bidi="en-US"/>
        </w:rPr>
        <w:t xml:space="preserve">第七节 </w:t>
      </w:r>
      <w:r w:rsidR="00277E7B">
        <w:rPr>
          <w:rFonts w:ascii="仿宋" w:eastAsia="仿宋" w:hAnsi="仿宋" w:hint="eastAsia"/>
          <w:b/>
          <w:kern w:val="0"/>
          <w:sz w:val="24"/>
          <w:szCs w:val="24"/>
          <w:lang w:bidi="en-US"/>
        </w:rPr>
        <w:t>品种</w:t>
      </w:r>
      <w:r>
        <w:rPr>
          <w:rFonts w:ascii="仿宋" w:eastAsia="仿宋" w:hAnsi="仿宋" w:hint="eastAsia"/>
          <w:b/>
          <w:kern w:val="0"/>
          <w:sz w:val="24"/>
          <w:szCs w:val="24"/>
          <w:lang w:bidi="en-US"/>
        </w:rPr>
        <w:t>投资者适当性评估</w:t>
      </w:r>
      <w:bookmarkEnd w:id="102"/>
    </w:p>
    <w:p w:rsidR="0095117E" w:rsidRDefault="006630F1" w:rsidP="00277E7B">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sidRPr="006630F1">
        <w:rPr>
          <w:rFonts w:ascii="仿宋" w:eastAsia="仿宋" w:hAnsi="仿宋" w:hint="eastAsia"/>
          <w:bCs/>
          <w:kern w:val="2"/>
          <w:szCs w:val="24"/>
          <w:lang w:eastAsia="zh-CN" w:bidi="ar-SA"/>
        </w:rPr>
        <w:t>投资者申请金融期货、能源期货</w:t>
      </w:r>
      <w:r w:rsidR="008D00F9">
        <w:rPr>
          <w:rFonts w:ascii="仿宋" w:eastAsia="仿宋" w:hAnsi="仿宋" w:hint="eastAsia"/>
          <w:bCs/>
          <w:kern w:val="2"/>
          <w:szCs w:val="24"/>
          <w:lang w:eastAsia="zh-CN" w:bidi="ar-SA"/>
        </w:rPr>
        <w:t>等各交易所有适当性管理要求品种的</w:t>
      </w:r>
      <w:r w:rsidRPr="006630F1">
        <w:rPr>
          <w:rFonts w:ascii="仿宋" w:eastAsia="仿宋" w:hAnsi="仿宋" w:hint="eastAsia"/>
          <w:bCs/>
          <w:kern w:val="2"/>
          <w:szCs w:val="24"/>
          <w:lang w:eastAsia="zh-CN" w:bidi="ar-SA"/>
        </w:rPr>
        <w:t>交易编码，开通期权及特殊品种交易权限的，依照恒泰期货制定的相应品种适当性管理规定执行</w:t>
      </w:r>
      <w:r w:rsidR="008D00F9">
        <w:rPr>
          <w:rFonts w:ascii="仿宋" w:eastAsia="仿宋" w:hAnsi="仿宋" w:hint="eastAsia"/>
          <w:bCs/>
          <w:kern w:val="2"/>
          <w:szCs w:val="24"/>
          <w:lang w:eastAsia="zh-CN" w:bidi="ar-SA"/>
        </w:rPr>
        <w:t>。</w:t>
      </w:r>
      <w:r w:rsidRPr="006630F1">
        <w:rPr>
          <w:rFonts w:ascii="仿宋" w:eastAsia="仿宋" w:hAnsi="仿宋"/>
          <w:bCs/>
          <w:kern w:val="2"/>
          <w:szCs w:val="24"/>
          <w:lang w:eastAsia="zh-CN" w:bidi="ar-SA"/>
        </w:rPr>
        <w:t xml:space="preserve"> </w:t>
      </w:r>
      <w:r w:rsidR="00171EF1" w:rsidDel="00171EF1">
        <w:rPr>
          <w:rFonts w:ascii="仿宋" w:eastAsia="仿宋" w:hAnsi="仿宋" w:hint="eastAsia"/>
          <w:bCs/>
          <w:kern w:val="2"/>
          <w:szCs w:val="24"/>
          <w:lang w:eastAsia="zh-CN" w:bidi="ar-SA"/>
        </w:rPr>
        <w:t xml:space="preserve"> </w:t>
      </w:r>
    </w:p>
    <w:p w:rsidR="00000000" w:rsidRDefault="00EB5038" w:rsidP="00DD5597">
      <w:pPr>
        <w:spacing w:beforeLines="50" w:afterLines="50" w:line="360" w:lineRule="auto"/>
        <w:jc w:val="center"/>
        <w:outlineLvl w:val="1"/>
        <w:rPr>
          <w:rFonts w:ascii="仿宋" w:eastAsia="仿宋" w:hAnsi="仿宋"/>
          <w:b/>
          <w:szCs w:val="24"/>
          <w:lang w:eastAsia="zh-CN"/>
        </w:rPr>
      </w:pPr>
      <w:bookmarkStart w:id="103" w:name="_Toc3815"/>
      <w:r>
        <w:rPr>
          <w:rFonts w:ascii="仿宋" w:eastAsia="仿宋" w:hAnsi="仿宋" w:hint="eastAsia"/>
          <w:b/>
          <w:szCs w:val="24"/>
          <w:lang w:eastAsia="zh-CN"/>
        </w:rPr>
        <w:t>第</w:t>
      </w:r>
      <w:r w:rsidR="008656B0">
        <w:rPr>
          <w:rFonts w:ascii="仿宋" w:eastAsia="仿宋" w:hAnsi="仿宋" w:hint="eastAsia"/>
          <w:b/>
          <w:szCs w:val="24"/>
          <w:lang w:eastAsia="zh-CN"/>
        </w:rPr>
        <w:t>八</w:t>
      </w:r>
      <w:r>
        <w:rPr>
          <w:rFonts w:ascii="仿宋" w:eastAsia="仿宋" w:hAnsi="仿宋" w:hint="eastAsia"/>
          <w:b/>
          <w:szCs w:val="24"/>
          <w:lang w:eastAsia="zh-CN"/>
        </w:rPr>
        <w:t>节 交易编码申请</w:t>
      </w:r>
      <w:bookmarkEnd w:id="94"/>
      <w:bookmarkEnd w:id="95"/>
      <w:bookmarkEnd w:id="96"/>
      <w:bookmarkEnd w:id="97"/>
      <w:bookmarkEnd w:id="98"/>
      <w:bookmarkEnd w:id="99"/>
      <w:bookmarkEnd w:id="100"/>
      <w:bookmarkEnd w:id="101"/>
      <w:bookmarkEnd w:id="103"/>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恒泰期货客户服务部对IB营业部提交的客户申请开立期货账户，申请金融期货、能源期货交易编码、开通期权交易权限的资料、影像资料及线上的开户申请进行复核。复核无误后，由恒泰期货客户服务部负责向期货市场监控中心提交客户资料及影像资料，申请交易编码。</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恒泰期货客户服务部及时通知客户期货市场监控中心的查询账号和初始密码。</w:t>
      </w:r>
    </w:p>
    <w:p w:rsidR="00000000" w:rsidRDefault="00EB5038" w:rsidP="00DD5597">
      <w:pPr>
        <w:spacing w:beforeLines="50" w:afterLines="50" w:line="360" w:lineRule="auto"/>
        <w:jc w:val="center"/>
        <w:outlineLvl w:val="1"/>
        <w:rPr>
          <w:rFonts w:ascii="仿宋" w:eastAsia="仿宋" w:hAnsi="仿宋"/>
          <w:b/>
          <w:szCs w:val="24"/>
          <w:lang w:eastAsia="zh-CN"/>
        </w:rPr>
      </w:pPr>
      <w:bookmarkStart w:id="104" w:name="_Toc16824"/>
      <w:bookmarkStart w:id="105" w:name="_Toc13565"/>
      <w:bookmarkStart w:id="106" w:name="_Toc492286267"/>
      <w:bookmarkStart w:id="107" w:name="_Toc10748"/>
      <w:bookmarkStart w:id="108" w:name="_Toc29415"/>
      <w:bookmarkStart w:id="109" w:name="_Toc492286302"/>
      <w:bookmarkStart w:id="110" w:name="_Toc28590"/>
      <w:bookmarkStart w:id="111" w:name="_Toc11600"/>
      <w:bookmarkStart w:id="112" w:name="_Toc22537"/>
      <w:r>
        <w:rPr>
          <w:rFonts w:ascii="仿宋" w:eastAsia="仿宋" w:hAnsi="仿宋" w:hint="eastAsia"/>
          <w:b/>
          <w:szCs w:val="24"/>
          <w:lang w:eastAsia="zh-CN"/>
        </w:rPr>
        <w:t>第</w:t>
      </w:r>
      <w:r w:rsidR="008656B0">
        <w:rPr>
          <w:rFonts w:ascii="仿宋" w:eastAsia="仿宋" w:hAnsi="仿宋" w:hint="eastAsia"/>
          <w:b/>
          <w:szCs w:val="24"/>
          <w:lang w:eastAsia="zh-CN"/>
        </w:rPr>
        <w:t>九</w:t>
      </w:r>
      <w:r>
        <w:rPr>
          <w:rFonts w:ascii="仿宋" w:eastAsia="仿宋" w:hAnsi="仿宋" w:hint="eastAsia"/>
          <w:b/>
          <w:szCs w:val="24"/>
          <w:lang w:eastAsia="zh-CN"/>
        </w:rPr>
        <w:t>节 出入金流程</w:t>
      </w:r>
      <w:bookmarkEnd w:id="104"/>
      <w:bookmarkEnd w:id="105"/>
      <w:bookmarkEnd w:id="106"/>
      <w:bookmarkEnd w:id="107"/>
      <w:bookmarkEnd w:id="108"/>
      <w:bookmarkEnd w:id="109"/>
      <w:bookmarkEnd w:id="110"/>
      <w:bookmarkEnd w:id="111"/>
      <w:bookmarkEnd w:id="112"/>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客户可通过银期转账或者人工转账的方式进行出入金操作。</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客户可通过银行柜台或网上银行、手机银行的方式开通银期转账业务：</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hint="eastAsia"/>
          <w:bCs/>
          <w:kern w:val="2"/>
          <w:szCs w:val="24"/>
          <w:lang w:eastAsia="zh-CN" w:bidi="ar-SA"/>
        </w:rPr>
        <w:t>（一）通过银行柜台开通银期转账业务流程：</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hint="eastAsia"/>
          <w:bCs/>
          <w:kern w:val="2"/>
          <w:szCs w:val="24"/>
          <w:lang w:eastAsia="zh-CN" w:bidi="ar-SA"/>
        </w:rPr>
        <w:lastRenderedPageBreak/>
        <w:t>1、自然人客户携带本人身份证、银行卡及签署的《银期转账业务协议书》到银行柜台开通银期转账业务；</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hint="eastAsia"/>
          <w:bCs/>
          <w:kern w:val="2"/>
          <w:szCs w:val="24"/>
          <w:lang w:eastAsia="zh-CN" w:bidi="ar-SA"/>
        </w:rPr>
        <w:t>2、法人客户携带“三证合一”的营业执照原件和加盖公章的复印件一份、加盖公章的法人身份证复印件一份、代理人身份证原件和加盖公章复印件一份（非法人办理时）、银行开户许可证、签署的《银期转账业务协议书》、加盖公章的《授权书》及法人章到银行柜台开通银期转账业务。</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hint="eastAsia"/>
          <w:bCs/>
          <w:kern w:val="2"/>
          <w:szCs w:val="24"/>
          <w:lang w:eastAsia="zh-CN" w:bidi="ar-SA"/>
        </w:rPr>
        <w:t>（二）通过网上银行或手机银行开通银期转账业务流程：</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bCs/>
          <w:kern w:val="2"/>
          <w:szCs w:val="24"/>
          <w:lang w:eastAsia="zh-CN" w:bidi="ar-SA"/>
        </w:rPr>
        <w:t>1</w:t>
      </w:r>
      <w:r>
        <w:rPr>
          <w:rFonts w:ascii="仿宋" w:eastAsia="仿宋" w:hAnsi="仿宋" w:hint="eastAsia"/>
          <w:bCs/>
          <w:kern w:val="2"/>
          <w:szCs w:val="24"/>
          <w:lang w:eastAsia="zh-CN" w:bidi="ar-SA"/>
        </w:rPr>
        <w:t>、登陆个人网上银行；</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bCs/>
          <w:kern w:val="2"/>
          <w:szCs w:val="24"/>
          <w:lang w:eastAsia="zh-CN" w:bidi="ar-SA"/>
        </w:rPr>
        <w:t>2</w:t>
      </w:r>
      <w:r>
        <w:rPr>
          <w:rFonts w:ascii="仿宋" w:eastAsia="仿宋" w:hAnsi="仿宋" w:hint="eastAsia"/>
          <w:bCs/>
          <w:kern w:val="2"/>
          <w:szCs w:val="24"/>
          <w:lang w:eastAsia="zh-CN" w:bidi="ar-SA"/>
        </w:rPr>
        <w:t>、填写相关资料，开通银期转账业务。</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客户开通银期转账业务后可通过网上交易终端输入银行账户密码及期货账户资金密码进行入金操作。</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人工转账方式客户入金必须以登记名称、登记账户与公司在同行间以转账的形式办理。</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客户人工转账入金须通知恒泰期货进行确认，流程如下：</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（一）客户入金后电话通知恒泰期货客户服务部，客户服务部协调财务部和结算交割部为客户进行入金确认和系统录入；</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（二）客户应及时把银行入金凭证原件传真至恒泰期货办理相关入金手续。</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当客户按照恒泰期货保证金标准计算确有可取资金（客户质押保证金不计算在可取资金中）时可办理出金手续。</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客户可通过银期转账或人工转账方式出金：</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（一）通过银期转账方式出金：</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szCs w:val="24"/>
          <w:lang w:eastAsia="zh-CN"/>
        </w:rPr>
        <w:t>1</w:t>
      </w:r>
      <w:r>
        <w:rPr>
          <w:rFonts w:ascii="仿宋" w:eastAsia="仿宋" w:hAnsi="仿宋" w:hint="eastAsia"/>
          <w:szCs w:val="24"/>
          <w:lang w:eastAsia="zh-CN"/>
        </w:rPr>
        <w:t>、客户出金小于</w:t>
      </w:r>
      <w:r>
        <w:rPr>
          <w:rFonts w:ascii="仿宋" w:eastAsia="仿宋" w:hAnsi="仿宋"/>
          <w:szCs w:val="24"/>
          <w:lang w:eastAsia="zh-CN"/>
        </w:rPr>
        <w:t>100</w:t>
      </w:r>
      <w:r>
        <w:rPr>
          <w:rFonts w:ascii="仿宋" w:eastAsia="仿宋" w:hAnsi="仿宋" w:hint="eastAsia"/>
          <w:szCs w:val="24"/>
          <w:lang w:eastAsia="zh-CN"/>
        </w:rPr>
        <w:t>万元的，客户自行在网上交易终端输入银行账户密码及期货账户资金密码进行银期转账出金；</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szCs w:val="24"/>
          <w:lang w:eastAsia="zh-CN"/>
        </w:rPr>
        <w:t>2</w:t>
      </w:r>
      <w:r>
        <w:rPr>
          <w:rFonts w:ascii="仿宋" w:eastAsia="仿宋" w:hAnsi="仿宋" w:hint="eastAsia"/>
          <w:szCs w:val="24"/>
          <w:lang w:eastAsia="zh-CN"/>
        </w:rPr>
        <w:t>、客户出金大于</w:t>
      </w:r>
      <w:r>
        <w:rPr>
          <w:rFonts w:ascii="仿宋" w:eastAsia="仿宋" w:hAnsi="仿宋"/>
          <w:szCs w:val="24"/>
          <w:lang w:eastAsia="zh-CN"/>
        </w:rPr>
        <w:t>100</w:t>
      </w:r>
      <w:r>
        <w:rPr>
          <w:rFonts w:ascii="仿宋" w:eastAsia="仿宋" w:hAnsi="仿宋" w:hint="eastAsia"/>
          <w:szCs w:val="24"/>
          <w:lang w:eastAsia="zh-CN"/>
        </w:rPr>
        <w:t>万元的，客户须提前一天致电恒泰期货</w:t>
      </w:r>
      <w:r>
        <w:rPr>
          <w:rFonts w:ascii="仿宋" w:eastAsia="仿宋" w:hAnsi="仿宋"/>
          <w:szCs w:val="24"/>
          <w:lang w:eastAsia="zh-CN"/>
        </w:rPr>
        <w:t xml:space="preserve">4008858895 </w:t>
      </w:r>
      <w:r>
        <w:rPr>
          <w:rFonts w:ascii="仿宋" w:eastAsia="仿宋" w:hAnsi="仿宋" w:hint="eastAsia"/>
          <w:szCs w:val="24"/>
          <w:lang w:eastAsia="zh-CN"/>
        </w:rPr>
        <w:t>进行预约；</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3、客户每日出金不超过10次，当日有交易或有持仓账户的出金额度为可用资金的90％。有特殊需求的须向恒泰期货客户服务部申请，由恒泰期货结算交割部对客户银期转账次数、限额及可取资金比例进行单独设置。</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lastRenderedPageBreak/>
        <w:t>（二）通过人工转账方式出金：</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1、客户出金必须由本人或指定的资金调拨人办理，法人客户还须加盖预留印鉴；</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2、客户出金小于100万元的，客户本人或指定的资金调拨人在恒泰期货公司网站上下载出金单，填写完整并签署后传真至恒泰期货客户服务部，由恒泰期货办理相关出金手续，原件邮寄至恒泰期货客户服务部；</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3、客户出金大于100万元的，由客户本人或指定的资金调拨人向恒泰期货客户服务部电话预约，在恒泰期货公司网站上下载出金单，填写完整并签署后传真至恒泰期货客户服务部，由恒泰期货办理相关出金手续，原件邮寄至恒泰期货客户服务部。</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以下情况限制客户出金：</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（一）涉嫌重大违规，被期货监管部门、交易所立案调查的；</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（二）有反洗钱记录或涉嫌反洗钱案件调查的；</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（三）被司法部门依法冻结保证金的；</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（四）与</w:t>
      </w:r>
      <w:r>
        <w:rPr>
          <w:rFonts w:ascii="仿宋" w:eastAsia="仿宋" w:hAnsi="仿宋" w:hint="eastAsia"/>
          <w:bCs/>
          <w:kern w:val="2"/>
          <w:szCs w:val="24"/>
          <w:lang w:eastAsia="zh-CN" w:bidi="ar-SA"/>
        </w:rPr>
        <w:t>恒泰期货</w:t>
      </w:r>
      <w:r>
        <w:rPr>
          <w:rFonts w:ascii="仿宋" w:eastAsia="仿宋" w:hAnsi="仿宋" w:hint="eastAsia"/>
          <w:szCs w:val="24"/>
          <w:lang w:eastAsia="zh-CN"/>
        </w:rPr>
        <w:t>的经济纠纷未了结的；</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（五）期货结算账户与登记不符的；</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（六）期货经纪合同中约定的其他情形。</w:t>
      </w:r>
      <w:bookmarkStart w:id="113" w:name="_Toc302735381"/>
      <w:bookmarkStart w:id="114" w:name="_Toc308173972"/>
    </w:p>
    <w:p w:rsidR="00000000" w:rsidRDefault="00EB5038" w:rsidP="00DD5597">
      <w:pPr>
        <w:spacing w:beforeLines="50" w:afterLines="50" w:line="360" w:lineRule="auto"/>
        <w:jc w:val="center"/>
        <w:outlineLvl w:val="1"/>
        <w:rPr>
          <w:rFonts w:ascii="仿宋" w:eastAsia="仿宋" w:hAnsi="仿宋"/>
          <w:b/>
          <w:szCs w:val="24"/>
          <w:lang w:eastAsia="zh-CN"/>
        </w:rPr>
      </w:pPr>
      <w:bookmarkStart w:id="115" w:name="_Toc29694"/>
      <w:bookmarkStart w:id="116" w:name="_Toc2736"/>
      <w:bookmarkStart w:id="117" w:name="_Toc492286268"/>
      <w:bookmarkStart w:id="118" w:name="_Toc492286303"/>
      <w:bookmarkStart w:id="119" w:name="_Toc10720"/>
      <w:bookmarkStart w:id="120" w:name="_Toc31957"/>
      <w:bookmarkStart w:id="121" w:name="_Toc12072"/>
      <w:bookmarkStart w:id="122" w:name="_Toc28576"/>
      <w:bookmarkStart w:id="123" w:name="_Toc4226"/>
      <w:r>
        <w:rPr>
          <w:rFonts w:ascii="仿宋" w:eastAsia="仿宋" w:hAnsi="仿宋" w:hint="eastAsia"/>
          <w:b/>
          <w:szCs w:val="24"/>
          <w:lang w:eastAsia="zh-CN"/>
        </w:rPr>
        <w:t>第五章</w:t>
      </w:r>
      <w:r>
        <w:rPr>
          <w:rFonts w:ascii="仿宋" w:eastAsia="仿宋" w:hAnsi="仿宋"/>
          <w:b/>
          <w:szCs w:val="24"/>
          <w:lang w:eastAsia="zh-CN"/>
        </w:rPr>
        <w:t xml:space="preserve"> </w:t>
      </w:r>
      <w:r>
        <w:rPr>
          <w:rFonts w:ascii="仿宋" w:eastAsia="仿宋" w:hAnsi="仿宋" w:hint="eastAsia"/>
          <w:b/>
          <w:szCs w:val="24"/>
          <w:lang w:eastAsia="zh-CN"/>
        </w:rPr>
        <w:t>客户回访</w:t>
      </w:r>
      <w:bookmarkEnd w:id="113"/>
      <w:bookmarkEnd w:id="114"/>
      <w:bookmarkEnd w:id="115"/>
      <w:bookmarkEnd w:id="116"/>
      <w:bookmarkEnd w:id="117"/>
      <w:bookmarkEnd w:id="118"/>
      <w:bookmarkEnd w:id="119"/>
      <w:bookmarkEnd w:id="120"/>
      <w:bookmarkEnd w:id="121"/>
      <w:bookmarkEnd w:id="122"/>
      <w:bookmarkEnd w:id="123"/>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恒泰期货客户服务部负责</w:t>
      </w:r>
      <w:r>
        <w:rPr>
          <w:rFonts w:ascii="仿宋" w:eastAsia="仿宋" w:hAnsi="仿宋"/>
          <w:bCs/>
          <w:kern w:val="2"/>
          <w:szCs w:val="24"/>
          <w:lang w:eastAsia="zh-CN" w:bidi="ar-SA"/>
        </w:rPr>
        <w:t>IB</w:t>
      </w:r>
      <w:r>
        <w:rPr>
          <w:rFonts w:ascii="仿宋" w:eastAsia="仿宋" w:hAnsi="仿宋" w:hint="eastAsia"/>
          <w:bCs/>
          <w:kern w:val="2"/>
          <w:szCs w:val="24"/>
          <w:lang w:eastAsia="zh-CN" w:bidi="ar-SA"/>
        </w:rPr>
        <w:t>业务客户回访工作,IB营业部根据恒泰期货客户服务部要求协助进行客户日常维护、服务、沟通、解释等事宜。</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恒泰期货客户服务部回访人员与协助风控岗客户回访应当规范、严谨。对待客户的语气应舒缓、轻柔。</w:t>
      </w:r>
      <w:r>
        <w:rPr>
          <w:rFonts w:ascii="仿宋" w:eastAsia="仿宋" w:hAnsi="仿宋"/>
          <w:bCs/>
          <w:kern w:val="2"/>
          <w:szCs w:val="24"/>
          <w:lang w:eastAsia="zh-CN" w:bidi="ar-SA"/>
        </w:rPr>
        <w:t xml:space="preserve"> </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恒泰期货客户服务部开户回访内容包括但不限于：</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hint="eastAsia"/>
          <w:bCs/>
          <w:kern w:val="2"/>
          <w:szCs w:val="24"/>
          <w:lang w:eastAsia="zh-CN" w:bidi="ar-SA"/>
        </w:rPr>
        <w:t>（一）期货经纪合同是否由客户本人亲自签署；</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hint="eastAsia"/>
          <w:bCs/>
          <w:kern w:val="2"/>
          <w:szCs w:val="24"/>
          <w:lang w:eastAsia="zh-CN" w:bidi="ar-SA"/>
        </w:rPr>
        <w:t>（二）期货经纪合同的主要条款是否已理解；</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hint="eastAsia"/>
          <w:bCs/>
          <w:kern w:val="2"/>
          <w:szCs w:val="24"/>
          <w:lang w:eastAsia="zh-CN" w:bidi="ar-SA"/>
        </w:rPr>
        <w:t>（三）开户人员是否向客户进行风险揭示；</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hint="eastAsia"/>
          <w:bCs/>
          <w:kern w:val="2"/>
          <w:szCs w:val="24"/>
          <w:lang w:eastAsia="zh-CN" w:bidi="ar-SA"/>
        </w:rPr>
        <w:t>（四）开户人员有没有向客户作获利保证；</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hint="eastAsia"/>
          <w:bCs/>
          <w:kern w:val="2"/>
          <w:szCs w:val="24"/>
          <w:lang w:eastAsia="zh-CN" w:bidi="ar-SA"/>
        </w:rPr>
        <w:lastRenderedPageBreak/>
        <w:t>（五）开户人员是否提示客户通过保证金监控中心查询交易、资金情况；</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hint="eastAsia"/>
          <w:bCs/>
          <w:kern w:val="2"/>
          <w:szCs w:val="24"/>
          <w:lang w:eastAsia="zh-CN" w:bidi="ar-SA"/>
        </w:rPr>
        <w:t>（六）其他需要回访的内容。</w:t>
      </w:r>
    </w:p>
    <w:p w:rsidR="00000000" w:rsidRDefault="00EB5038" w:rsidP="00DD5597">
      <w:pPr>
        <w:spacing w:beforeLines="50" w:afterLines="50" w:line="360" w:lineRule="auto"/>
        <w:jc w:val="center"/>
        <w:outlineLvl w:val="1"/>
        <w:rPr>
          <w:rFonts w:ascii="仿宋" w:eastAsia="仿宋" w:hAnsi="仿宋"/>
          <w:b/>
          <w:szCs w:val="24"/>
          <w:lang w:eastAsia="zh-CN"/>
        </w:rPr>
      </w:pPr>
      <w:bookmarkStart w:id="124" w:name="_Toc8524"/>
      <w:bookmarkStart w:id="125" w:name="_Toc15714"/>
      <w:bookmarkStart w:id="126" w:name="_Toc308173973"/>
      <w:bookmarkStart w:id="127" w:name="_Toc15414"/>
      <w:bookmarkStart w:id="128" w:name="_Toc492286269"/>
      <w:bookmarkStart w:id="129" w:name="_Toc2683"/>
      <w:bookmarkStart w:id="130" w:name="_Toc19528"/>
      <w:bookmarkStart w:id="131" w:name="_Toc23741"/>
      <w:bookmarkStart w:id="132" w:name="_Toc4774"/>
      <w:bookmarkStart w:id="133" w:name="_Toc492286304"/>
      <w:r>
        <w:rPr>
          <w:rFonts w:ascii="仿宋" w:eastAsia="仿宋" w:hAnsi="仿宋" w:hint="eastAsia"/>
          <w:b/>
          <w:szCs w:val="24"/>
          <w:lang w:eastAsia="zh-CN"/>
        </w:rPr>
        <w:t>第六章</w:t>
      </w:r>
      <w:r>
        <w:rPr>
          <w:rFonts w:ascii="仿宋" w:eastAsia="仿宋" w:hAnsi="仿宋"/>
          <w:b/>
          <w:szCs w:val="24"/>
          <w:lang w:eastAsia="zh-CN"/>
        </w:rPr>
        <w:t xml:space="preserve"> </w:t>
      </w:r>
      <w:r>
        <w:rPr>
          <w:rFonts w:ascii="仿宋" w:eastAsia="仿宋" w:hAnsi="仿宋" w:hint="eastAsia"/>
          <w:b/>
          <w:szCs w:val="24"/>
          <w:lang w:eastAsia="zh-CN"/>
        </w:rPr>
        <w:t>资料变更</w:t>
      </w:r>
      <w:bookmarkEnd w:id="124"/>
      <w:bookmarkEnd w:id="125"/>
      <w:bookmarkEnd w:id="126"/>
      <w:bookmarkEnd w:id="127"/>
      <w:bookmarkEnd w:id="128"/>
      <w:bookmarkEnd w:id="129"/>
      <w:bookmarkEnd w:id="130"/>
      <w:bookmarkEnd w:id="131"/>
      <w:bookmarkEnd w:id="132"/>
      <w:bookmarkEnd w:id="133"/>
    </w:p>
    <w:p w:rsidR="00000000" w:rsidRDefault="00EB5038" w:rsidP="00DD5597">
      <w:pPr>
        <w:spacing w:beforeLines="50" w:afterLines="50" w:line="360" w:lineRule="auto"/>
        <w:jc w:val="center"/>
        <w:outlineLvl w:val="1"/>
        <w:rPr>
          <w:rFonts w:ascii="仿宋" w:eastAsia="仿宋" w:hAnsi="仿宋"/>
          <w:b/>
          <w:szCs w:val="24"/>
          <w:lang w:eastAsia="zh-CN"/>
        </w:rPr>
      </w:pPr>
      <w:bookmarkStart w:id="134" w:name="_Toc492286305"/>
      <w:bookmarkStart w:id="135" w:name="_Toc13225"/>
      <w:bookmarkStart w:id="136" w:name="_Toc2934"/>
      <w:bookmarkStart w:id="137" w:name="_Toc25859"/>
      <w:bookmarkStart w:id="138" w:name="_Toc308173974"/>
      <w:bookmarkStart w:id="139" w:name="_Toc18357"/>
      <w:bookmarkStart w:id="140" w:name="_Toc3654"/>
      <w:bookmarkStart w:id="141" w:name="_Toc23089"/>
      <w:bookmarkStart w:id="142" w:name="_Toc30614"/>
      <w:bookmarkStart w:id="143" w:name="_Toc492286270"/>
      <w:r>
        <w:rPr>
          <w:rFonts w:ascii="仿宋" w:eastAsia="仿宋" w:hAnsi="仿宋" w:hint="eastAsia"/>
          <w:b/>
          <w:szCs w:val="24"/>
          <w:lang w:eastAsia="zh-CN"/>
        </w:rPr>
        <w:t>第一节 开户信息变更</w:t>
      </w:r>
      <w:bookmarkEnd w:id="134"/>
      <w:bookmarkEnd w:id="135"/>
      <w:bookmarkEnd w:id="136"/>
      <w:bookmarkEnd w:id="137"/>
      <w:bookmarkEnd w:id="138"/>
      <w:bookmarkEnd w:id="139"/>
      <w:bookmarkEnd w:id="140"/>
      <w:bookmarkEnd w:id="141"/>
      <w:bookmarkEnd w:id="142"/>
      <w:bookmarkEnd w:id="143"/>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开户一般信息变更：</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hint="eastAsia"/>
          <w:bCs/>
          <w:kern w:val="2"/>
          <w:szCs w:val="24"/>
          <w:lang w:eastAsia="zh-CN" w:bidi="ar-SA"/>
        </w:rPr>
        <w:t>（一）客户一般信息包括：</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bCs/>
          <w:kern w:val="2"/>
          <w:szCs w:val="24"/>
          <w:lang w:eastAsia="zh-CN" w:bidi="ar-SA"/>
        </w:rPr>
        <w:t>1</w:t>
      </w:r>
      <w:r>
        <w:rPr>
          <w:rFonts w:ascii="仿宋" w:eastAsia="仿宋" w:hAnsi="仿宋" w:hint="eastAsia"/>
          <w:bCs/>
          <w:kern w:val="2"/>
          <w:szCs w:val="24"/>
          <w:lang w:eastAsia="zh-CN" w:bidi="ar-SA"/>
        </w:rPr>
        <w:t>、指定下单人、资金调拨人、交易结算报告确认人；</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bCs/>
          <w:kern w:val="2"/>
          <w:szCs w:val="24"/>
          <w:lang w:eastAsia="zh-CN" w:bidi="ar-SA"/>
        </w:rPr>
        <w:t>2</w:t>
      </w:r>
      <w:r>
        <w:rPr>
          <w:rFonts w:ascii="仿宋" w:eastAsia="仿宋" w:hAnsi="仿宋" w:hint="eastAsia"/>
          <w:bCs/>
          <w:kern w:val="2"/>
          <w:szCs w:val="24"/>
          <w:lang w:eastAsia="zh-CN" w:bidi="ar-SA"/>
        </w:rPr>
        <w:t>、客户固定电话、移动电话、传真电话、联系地址、邮政编码、</w:t>
      </w:r>
      <w:r>
        <w:rPr>
          <w:rFonts w:ascii="仿宋" w:eastAsia="仿宋" w:hAnsi="仿宋"/>
          <w:bCs/>
          <w:kern w:val="2"/>
          <w:szCs w:val="24"/>
          <w:lang w:eastAsia="zh-CN" w:bidi="ar-SA"/>
        </w:rPr>
        <w:t>E-mail</w:t>
      </w:r>
      <w:r>
        <w:rPr>
          <w:rFonts w:ascii="仿宋" w:eastAsia="仿宋" w:hAnsi="仿宋" w:hint="eastAsia"/>
          <w:bCs/>
          <w:kern w:val="2"/>
          <w:szCs w:val="24"/>
          <w:lang w:eastAsia="zh-CN" w:bidi="ar-SA"/>
        </w:rPr>
        <w:t>地址。</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（二）自然人客户申请变更一般信息，须详实填写《客户信息变更申请表》、《客户基本身份信息变更申请表》审核无误并留存复印件后在综合交易平台管理系统中进行修改；</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（三）法人客户申请一般信息变更，授权委托人须详实填写《客户信息变更申请表》、《客户基本身份信息变更申请表》，审核无误并留存复印件后在综合交易平台管理系统中进行修改。</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客户身份信息</w:t>
      </w:r>
      <w:r>
        <w:rPr>
          <w:rFonts w:ascii="仿宋" w:eastAsia="仿宋" w:hAnsi="仿宋" w:hint="eastAsia"/>
          <w:szCs w:val="24"/>
          <w:lang w:eastAsia="zh-CN"/>
        </w:rPr>
        <w:t>变更</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（一）客户身份信息包括：</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szCs w:val="24"/>
          <w:lang w:eastAsia="zh-CN"/>
        </w:rPr>
        <w:t>1.</w:t>
      </w:r>
      <w:r>
        <w:rPr>
          <w:rFonts w:ascii="仿宋" w:eastAsia="仿宋" w:hAnsi="仿宋" w:hint="eastAsia"/>
          <w:szCs w:val="24"/>
          <w:lang w:eastAsia="zh-CN"/>
        </w:rPr>
        <w:t>自然人客户身份信息包括客户名称、证件号码、期货结算账户名等；</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2.法人客户身份信息包括客户名称、证件号码（三证合一的营业执照号码）、期货结算账户名等。</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二）自然人客户变更身份信息，须详实填写《客户信息变更申请表》、《客户基本身份信息变更申请表》，连同户口本或公安机关书面证明文件递交协助开户岗，协助开户岗审核客户身份和填写内容，并经协助风控岗复核无误后将《客户信息变更申请表》等相关资料传真至恒泰期货客户服务部进行信息变更；</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三）法人客户变更身份信息，须详实填写《客户信息变更申请表》、《客户基本身份信息变更申请表》，连同工商管理部门有关基本身份信息变更的书面证明材料递交协助开户岗，协助开户岗审核客户身份和填写内容，并经协助风控</w:t>
      </w:r>
      <w:r>
        <w:rPr>
          <w:rFonts w:ascii="仿宋" w:eastAsia="仿宋" w:hAnsi="仿宋" w:hint="eastAsia"/>
          <w:szCs w:val="24"/>
          <w:lang w:eastAsia="zh-CN"/>
        </w:rPr>
        <w:lastRenderedPageBreak/>
        <w:t>岗复核无误后将《客户信息变更申请表》、《客户基本身份信息变更申请表》等相关资料传真至恒泰期货交易服务部进行信息变更。</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结算账户信息变更</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（一）结算账户信息变更是指更改除结算账户户名外的银行结算账号信息；</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二）自然人客户变更结算账户信息时，须详实填写《客户信息变更申请表》、《客户基本身份信息变更申请表》，连同身份证明有效文件复印件、银行借记卡复印件递交协助开户岗，协助开户岗审核客户身份和填写内容，并经协助风控岗复核无误后将《客户信息变更申请表》、《客户基本身份信息变更申请表》等相关资料传真至恒泰期货客户服务部进行信息变更；</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三）法人客户变更结算账户信息时，须详实填写《客户信息变更申请表》、《客户基本身份信息变更申请表》，连同身份证明有效文件、银行开户许可证或银行账户章复印件递交协助开户岗，协助开户岗审核客户身份和填写内容，并经协助风控岗复核无误后将《客户信息变更申请表》、《客户基本身份信息变更申请表》等相关资料传真至恒泰期货客户服务部进行信息变更。</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《客户信息变更申请表》、《客户基本身份信息变更申请表》原件邮寄恒泰期货客户服务部，</w:t>
      </w:r>
      <w:r w:rsidR="00EE0FB3">
        <w:rPr>
          <w:rFonts w:ascii="仿宋" w:eastAsia="仿宋" w:hAnsi="仿宋" w:hint="eastAsia"/>
          <w:szCs w:val="24"/>
          <w:lang w:eastAsia="zh-CN" w:bidi="ar-SA"/>
        </w:rPr>
        <w:t>证券公司</w:t>
      </w:r>
      <w:r>
        <w:rPr>
          <w:rFonts w:ascii="仿宋" w:eastAsia="仿宋" w:hAnsi="仿宋" w:hint="eastAsia"/>
          <w:szCs w:val="24"/>
          <w:lang w:eastAsia="zh-CN" w:bidi="ar-SA"/>
        </w:rPr>
        <w:t>I</w:t>
      </w:r>
      <w:r>
        <w:rPr>
          <w:rFonts w:ascii="仿宋" w:eastAsia="仿宋" w:hAnsi="仿宋" w:hint="eastAsia"/>
          <w:bCs/>
          <w:kern w:val="2"/>
          <w:szCs w:val="24"/>
          <w:lang w:eastAsia="zh-CN" w:bidi="ar-SA"/>
        </w:rPr>
        <w:t>B营业部留存复印件。</w:t>
      </w:r>
    </w:p>
    <w:p w:rsidR="00000000" w:rsidRDefault="00EB5038" w:rsidP="00DD5597">
      <w:pPr>
        <w:spacing w:beforeLines="50" w:afterLines="50" w:line="360" w:lineRule="auto"/>
        <w:jc w:val="center"/>
        <w:outlineLvl w:val="1"/>
        <w:rPr>
          <w:rFonts w:ascii="仿宋" w:eastAsia="仿宋" w:hAnsi="仿宋"/>
          <w:b/>
          <w:szCs w:val="24"/>
          <w:lang w:eastAsia="zh-CN"/>
        </w:rPr>
      </w:pPr>
      <w:bookmarkStart w:id="144" w:name="_Toc492286306"/>
      <w:bookmarkStart w:id="145" w:name="_Toc3567"/>
      <w:bookmarkStart w:id="146" w:name="_Toc29513"/>
      <w:bookmarkStart w:id="147" w:name="_Toc15661"/>
      <w:bookmarkStart w:id="148" w:name="_Toc308173975"/>
      <w:bookmarkStart w:id="149" w:name="_Toc19597"/>
      <w:bookmarkStart w:id="150" w:name="_Toc31937"/>
      <w:bookmarkStart w:id="151" w:name="_Toc14762"/>
      <w:bookmarkStart w:id="152" w:name="_Toc13690"/>
      <w:bookmarkStart w:id="153" w:name="_Toc492286271"/>
      <w:r>
        <w:rPr>
          <w:rFonts w:ascii="仿宋" w:eastAsia="仿宋" w:hAnsi="仿宋" w:hint="eastAsia"/>
          <w:b/>
          <w:szCs w:val="24"/>
          <w:lang w:eastAsia="zh-CN"/>
        </w:rPr>
        <w:t>第二节</w:t>
      </w:r>
      <w:bookmarkStart w:id="154" w:name="_Toc302735383"/>
      <w:r>
        <w:rPr>
          <w:rFonts w:ascii="仿宋" w:eastAsia="仿宋" w:hAnsi="仿宋" w:hint="eastAsia"/>
          <w:b/>
          <w:szCs w:val="24"/>
          <w:lang w:eastAsia="zh-CN"/>
        </w:rPr>
        <w:t xml:space="preserve"> 客户密码的重置</w:t>
      </w:r>
      <w:bookmarkEnd w:id="144"/>
      <w:bookmarkEnd w:id="145"/>
      <w:bookmarkEnd w:id="146"/>
      <w:bookmarkEnd w:id="147"/>
      <w:bookmarkEnd w:id="148"/>
      <w:bookmarkEnd w:id="149"/>
      <w:bookmarkEnd w:id="150"/>
      <w:bookmarkEnd w:id="151"/>
      <w:bookmarkEnd w:id="152"/>
      <w:bookmarkEnd w:id="153"/>
      <w:bookmarkEnd w:id="154"/>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客户遗忘或丢失交易密码、资金密码、保证金监控中心查询密码时，客户应在IB营业部现场填写《客户信息变更申请表》由IB协助开户岗核实申请人身份和填写内容,个人客户留存客户身份证复印件，法人客户留存委托人身份证、法人营业执照按如下流程办理：</w:t>
      </w:r>
    </w:p>
    <w:p w:rsidR="0095117E" w:rsidRDefault="00EB5038">
      <w:pPr>
        <w:widowControl w:val="0"/>
        <w:numPr>
          <w:ilvl w:val="255"/>
          <w:numId w:val="0"/>
        </w:numPr>
        <w:spacing w:after="0" w:line="360" w:lineRule="auto"/>
        <w:ind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（一）协助开户岗对客户身份进行审核，并将《客户信息变更申请表》、《客户基本身份信息变更申请表》传真至恒泰期货客户服务部；</w:t>
      </w:r>
    </w:p>
    <w:p w:rsidR="0095117E" w:rsidRDefault="00EB5038">
      <w:pPr>
        <w:widowControl w:val="0"/>
        <w:numPr>
          <w:ilvl w:val="255"/>
          <w:numId w:val="0"/>
        </w:numPr>
        <w:spacing w:after="0" w:line="360" w:lineRule="auto"/>
        <w:ind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（二）恒泰期货客户服务部经办人员根据《客户信息变更申请表》、《客户基本身份信息变更申请表》再次确认客户身份后对客户密码进行重置；</w:t>
      </w:r>
    </w:p>
    <w:p w:rsidR="00DD5597" w:rsidRDefault="00DD5597" w:rsidP="00DD5597">
      <w:pPr>
        <w:widowControl w:val="0"/>
        <w:numPr>
          <w:ilvl w:val="255"/>
          <w:numId w:val="0"/>
        </w:numPr>
        <w:spacing w:after="0" w:line="360" w:lineRule="auto"/>
        <w:jc w:val="both"/>
        <w:rPr>
          <w:rFonts w:ascii="仿宋" w:eastAsia="仿宋" w:hAnsi="仿宋" w:hint="eastAsia"/>
          <w:bCs/>
          <w:kern w:val="2"/>
          <w:szCs w:val="24"/>
          <w:lang w:eastAsia="zh-CN" w:bidi="ar-SA"/>
        </w:rPr>
      </w:pPr>
      <w:r>
        <w:rPr>
          <w:rFonts w:ascii="仿宋" w:eastAsia="仿宋" w:hAnsi="仿宋" w:hint="eastAsia"/>
          <w:bCs/>
          <w:kern w:val="2"/>
          <w:szCs w:val="24"/>
          <w:lang w:eastAsia="zh-CN" w:bidi="ar-SA"/>
        </w:rPr>
        <w:t xml:space="preserve">    </w:t>
      </w:r>
      <w:r w:rsidR="00EB5038">
        <w:rPr>
          <w:rFonts w:ascii="仿宋" w:eastAsia="仿宋" w:hAnsi="仿宋" w:hint="eastAsia"/>
          <w:bCs/>
          <w:kern w:val="2"/>
          <w:szCs w:val="24"/>
          <w:lang w:eastAsia="zh-CN" w:bidi="ar-SA"/>
        </w:rPr>
        <w:t>（三）密码重置完成后由客户服务部通知客户，同时告知IB营业部协助开</w:t>
      </w:r>
    </w:p>
    <w:p w:rsidR="0095117E" w:rsidRDefault="00EB5038" w:rsidP="00DD5597">
      <w:pPr>
        <w:widowControl w:val="0"/>
        <w:numPr>
          <w:ilvl w:val="255"/>
          <w:numId w:val="0"/>
        </w:numPr>
        <w:spacing w:after="0" w:line="360" w:lineRule="auto"/>
        <w:jc w:val="both"/>
        <w:rPr>
          <w:rFonts w:ascii="仿宋" w:eastAsia="仿宋" w:hAnsi="仿宋"/>
          <w:bCs/>
          <w:kern w:val="2"/>
          <w:szCs w:val="24"/>
          <w:lang w:eastAsia="zh-CN" w:bidi="ar-SA"/>
        </w:rPr>
      </w:pPr>
      <w:r>
        <w:rPr>
          <w:rFonts w:ascii="仿宋" w:eastAsia="仿宋" w:hAnsi="仿宋" w:hint="eastAsia"/>
          <w:bCs/>
          <w:kern w:val="2"/>
          <w:szCs w:val="24"/>
          <w:lang w:eastAsia="zh-CN" w:bidi="ar-SA"/>
        </w:rPr>
        <w:t>户岗；</w:t>
      </w:r>
    </w:p>
    <w:p w:rsidR="0095117E" w:rsidRDefault="00EB5038" w:rsidP="00DD5597">
      <w:pPr>
        <w:widowControl w:val="0"/>
        <w:numPr>
          <w:ilvl w:val="255"/>
          <w:numId w:val="0"/>
        </w:numPr>
        <w:spacing w:after="0" w:line="360" w:lineRule="auto"/>
        <w:ind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lastRenderedPageBreak/>
        <w:t>（四）协助开户岗将《客户信息变更申请》、《客户基本身份信息变更申请表》原件定期邮寄恒泰期货客户服务部归档，</w:t>
      </w:r>
      <w:r w:rsidR="00EE0FB3">
        <w:rPr>
          <w:rFonts w:ascii="仿宋" w:eastAsia="仿宋" w:hAnsi="仿宋" w:hint="eastAsia"/>
          <w:bCs/>
          <w:kern w:val="2"/>
          <w:szCs w:val="24"/>
          <w:lang w:eastAsia="zh-CN" w:bidi="ar-SA"/>
        </w:rPr>
        <w:t>证券公司</w:t>
      </w:r>
      <w:r>
        <w:rPr>
          <w:rFonts w:ascii="仿宋" w:eastAsia="仿宋" w:hAnsi="仿宋" w:hint="eastAsia"/>
          <w:bCs/>
          <w:kern w:val="2"/>
          <w:szCs w:val="24"/>
          <w:lang w:eastAsia="zh-CN" w:bidi="ar-SA"/>
        </w:rPr>
        <w:t>IB营业部留存复印件。</w:t>
      </w:r>
    </w:p>
    <w:p w:rsidR="00000000" w:rsidRDefault="00EB5038" w:rsidP="00DD5597">
      <w:pPr>
        <w:spacing w:beforeLines="50" w:afterLines="50" w:line="360" w:lineRule="auto"/>
        <w:jc w:val="center"/>
        <w:outlineLvl w:val="1"/>
        <w:rPr>
          <w:rFonts w:ascii="仿宋" w:eastAsia="仿宋" w:hAnsi="仿宋"/>
          <w:b/>
          <w:szCs w:val="24"/>
          <w:lang w:eastAsia="zh-CN"/>
        </w:rPr>
      </w:pPr>
      <w:bookmarkStart w:id="155" w:name="_Toc492286272"/>
      <w:bookmarkStart w:id="156" w:name="_Toc30953"/>
      <w:bookmarkStart w:id="157" w:name="_Toc492286307"/>
      <w:bookmarkStart w:id="158" w:name="_Toc30704"/>
      <w:bookmarkStart w:id="159" w:name="_Toc17685"/>
      <w:bookmarkStart w:id="160" w:name="_Toc4690"/>
      <w:bookmarkStart w:id="161" w:name="_Toc9330"/>
      <w:bookmarkStart w:id="162" w:name="_Toc30145"/>
      <w:bookmarkStart w:id="163" w:name="_Toc16141"/>
      <w:r>
        <w:rPr>
          <w:rFonts w:ascii="仿宋" w:eastAsia="仿宋" w:hAnsi="仿宋" w:hint="eastAsia"/>
          <w:b/>
          <w:szCs w:val="24"/>
          <w:lang w:eastAsia="zh-CN"/>
        </w:rPr>
        <w:t xml:space="preserve">第七章 </w:t>
      </w:r>
      <w:bookmarkStart w:id="164" w:name="_Toc302735384"/>
      <w:bookmarkStart w:id="165" w:name="_Toc308173976"/>
      <w:r>
        <w:rPr>
          <w:rFonts w:ascii="仿宋" w:eastAsia="仿宋" w:hAnsi="仿宋" w:hint="eastAsia"/>
          <w:b/>
          <w:szCs w:val="24"/>
          <w:lang w:eastAsia="zh-CN"/>
        </w:rPr>
        <w:t>客户身份识别</w:t>
      </w:r>
      <w:bookmarkEnd w:id="155"/>
      <w:bookmarkEnd w:id="156"/>
      <w:bookmarkEnd w:id="157"/>
      <w:bookmarkEnd w:id="158"/>
      <w:bookmarkEnd w:id="159"/>
      <w:bookmarkEnd w:id="160"/>
      <w:bookmarkEnd w:id="161"/>
      <w:bookmarkEnd w:id="162"/>
      <w:bookmarkEnd w:id="163"/>
      <w:bookmarkEnd w:id="164"/>
      <w:bookmarkEnd w:id="165"/>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恒泰期货客户服务部</w:t>
      </w:r>
      <w:r>
        <w:rPr>
          <w:rFonts w:ascii="仿宋" w:eastAsia="仿宋" w:hAnsi="仿宋"/>
          <w:bCs/>
          <w:kern w:val="2"/>
          <w:szCs w:val="24"/>
          <w:lang w:eastAsia="zh-CN" w:bidi="ar-SA"/>
        </w:rPr>
        <w:t>应</w:t>
      </w:r>
      <w:r>
        <w:rPr>
          <w:rFonts w:ascii="仿宋" w:eastAsia="仿宋" w:hAnsi="仿宋" w:hint="eastAsia"/>
          <w:bCs/>
          <w:kern w:val="2"/>
          <w:szCs w:val="24"/>
          <w:lang w:eastAsia="zh-CN" w:bidi="ar-SA"/>
        </w:rPr>
        <w:t>对自然人客户、法定代表人、开户代理人及相关授权人的身份证有效期进行检查，超过有效期的，恒泰期货客户服务部须及时通知客户及IB营业部更新客户身份证件，由客户或IB营业部提交客户身份证件复印件及原件扫描件，由恒泰期货客户服务部进行修改。</w:t>
      </w:r>
      <w:r w:rsidR="00EE0FB3">
        <w:rPr>
          <w:rFonts w:ascii="仿宋" w:eastAsia="仿宋" w:hAnsi="仿宋" w:hint="eastAsia"/>
          <w:bCs/>
          <w:kern w:val="2"/>
          <w:szCs w:val="24"/>
          <w:lang w:eastAsia="zh-CN" w:bidi="ar-SA"/>
        </w:rPr>
        <w:t>证券公司</w:t>
      </w:r>
      <w:r>
        <w:rPr>
          <w:rFonts w:ascii="仿宋" w:eastAsia="仿宋" w:hAnsi="仿宋"/>
          <w:bCs/>
          <w:kern w:val="2"/>
          <w:szCs w:val="24"/>
          <w:lang w:eastAsia="zh-CN" w:bidi="ar-SA"/>
        </w:rPr>
        <w:t>IB营业部</w:t>
      </w:r>
      <w:r>
        <w:rPr>
          <w:rFonts w:ascii="仿宋" w:eastAsia="仿宋" w:hAnsi="仿宋" w:hint="eastAsia"/>
          <w:bCs/>
          <w:kern w:val="2"/>
          <w:szCs w:val="24"/>
          <w:lang w:eastAsia="zh-CN" w:bidi="ar-SA"/>
        </w:rPr>
        <w:t>协助恒泰期货客户服务部进行客户通知及身份证件材料收集、转提交工作。</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恒泰期货客户服务部</w:t>
      </w:r>
      <w:r>
        <w:rPr>
          <w:rFonts w:ascii="仿宋" w:eastAsia="仿宋" w:hAnsi="仿宋"/>
          <w:bCs/>
          <w:kern w:val="2"/>
          <w:szCs w:val="24"/>
          <w:lang w:eastAsia="zh-CN" w:bidi="ar-SA"/>
        </w:rPr>
        <w:t>应</w:t>
      </w:r>
      <w:r>
        <w:rPr>
          <w:rFonts w:ascii="仿宋" w:eastAsia="仿宋" w:hAnsi="仿宋" w:hint="eastAsia"/>
          <w:bCs/>
          <w:kern w:val="2"/>
          <w:szCs w:val="24"/>
          <w:lang w:eastAsia="zh-CN" w:bidi="ar-SA"/>
        </w:rPr>
        <w:t>对法人客户的《企业营业执照》的有效期和年检情况进行检查，超过有效期的和年检情况有更新的须及时通知客户及IB营业部更新客户证件，并将复印件及原件扫描件提供给恒泰期货客户服务部，由客户服务部进行修改。</w:t>
      </w:r>
      <w:r w:rsidR="00EE0FB3">
        <w:rPr>
          <w:rFonts w:ascii="仿宋" w:eastAsia="仿宋" w:hAnsi="仿宋" w:hint="eastAsia"/>
          <w:bCs/>
          <w:kern w:val="2"/>
          <w:szCs w:val="24"/>
          <w:lang w:eastAsia="zh-CN" w:bidi="ar-SA"/>
        </w:rPr>
        <w:t>证券公司</w:t>
      </w:r>
      <w:r>
        <w:rPr>
          <w:rFonts w:ascii="仿宋" w:eastAsia="仿宋" w:hAnsi="仿宋"/>
          <w:bCs/>
          <w:kern w:val="2"/>
          <w:szCs w:val="24"/>
          <w:lang w:eastAsia="zh-CN" w:bidi="ar-SA"/>
        </w:rPr>
        <w:t>IB营业部</w:t>
      </w:r>
      <w:r>
        <w:rPr>
          <w:rFonts w:ascii="仿宋" w:eastAsia="仿宋" w:hAnsi="仿宋" w:hint="eastAsia"/>
          <w:bCs/>
          <w:kern w:val="2"/>
          <w:szCs w:val="24"/>
          <w:lang w:eastAsia="zh-CN" w:bidi="ar-SA"/>
        </w:rPr>
        <w:t>协助恒泰期货客户服务部进行客户通知及身份证件材料收集、转提交工作。</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对客户身份识别不通过的客户，恒泰期货有权采取限制交易的措施。</w:t>
      </w:r>
      <w:bookmarkStart w:id="166" w:name="_Toc308173977"/>
      <w:bookmarkStart w:id="167" w:name="_Toc302735385"/>
      <w:r w:rsidR="00EE0FB3">
        <w:rPr>
          <w:rFonts w:ascii="仿宋" w:eastAsia="仿宋" w:hAnsi="仿宋" w:hint="eastAsia"/>
          <w:bCs/>
          <w:kern w:val="2"/>
          <w:szCs w:val="24"/>
          <w:lang w:eastAsia="zh-CN" w:bidi="ar-SA"/>
        </w:rPr>
        <w:t>证券公司</w:t>
      </w:r>
      <w:r>
        <w:rPr>
          <w:rFonts w:ascii="仿宋" w:eastAsia="仿宋" w:hAnsi="仿宋"/>
          <w:bCs/>
          <w:kern w:val="2"/>
          <w:szCs w:val="24"/>
          <w:lang w:eastAsia="zh-CN" w:bidi="ar-SA"/>
        </w:rPr>
        <w:t>IB营业部</w:t>
      </w:r>
      <w:r>
        <w:rPr>
          <w:rFonts w:ascii="仿宋" w:eastAsia="仿宋" w:hAnsi="仿宋" w:hint="eastAsia"/>
          <w:bCs/>
          <w:kern w:val="2"/>
          <w:szCs w:val="24"/>
          <w:lang w:eastAsia="zh-CN" w:bidi="ar-SA"/>
        </w:rPr>
        <w:t>协助恒泰期货客户服务部做好客户沟通、解释工作。</w:t>
      </w:r>
    </w:p>
    <w:p w:rsidR="00000000" w:rsidRDefault="00EB5038" w:rsidP="00DD5597">
      <w:pPr>
        <w:spacing w:beforeLines="50" w:afterLines="50" w:line="360" w:lineRule="auto"/>
        <w:jc w:val="center"/>
        <w:outlineLvl w:val="1"/>
        <w:rPr>
          <w:rFonts w:ascii="仿宋" w:eastAsia="仿宋" w:hAnsi="仿宋"/>
          <w:b/>
          <w:szCs w:val="24"/>
          <w:lang w:eastAsia="zh-CN"/>
        </w:rPr>
      </w:pPr>
      <w:bookmarkStart w:id="168" w:name="_Toc11025"/>
      <w:bookmarkStart w:id="169" w:name="_Toc492286308"/>
      <w:bookmarkStart w:id="170" w:name="_Toc16821"/>
      <w:bookmarkStart w:id="171" w:name="_Toc21276"/>
      <w:bookmarkStart w:id="172" w:name="_Toc26241"/>
      <w:bookmarkStart w:id="173" w:name="_Toc24719"/>
      <w:bookmarkStart w:id="174" w:name="_Toc9856"/>
      <w:bookmarkStart w:id="175" w:name="_Toc26458"/>
      <w:bookmarkStart w:id="176" w:name="_Toc492286273"/>
      <w:r>
        <w:rPr>
          <w:rFonts w:ascii="仿宋" w:eastAsia="仿宋" w:hAnsi="仿宋" w:hint="eastAsia"/>
          <w:b/>
          <w:szCs w:val="24"/>
          <w:lang w:eastAsia="zh-CN"/>
        </w:rPr>
        <w:t>第八章</w:t>
      </w:r>
      <w:r>
        <w:rPr>
          <w:rFonts w:ascii="仿宋" w:eastAsia="仿宋" w:hAnsi="仿宋"/>
          <w:b/>
          <w:szCs w:val="24"/>
          <w:lang w:eastAsia="zh-CN"/>
        </w:rPr>
        <w:t xml:space="preserve"> </w:t>
      </w:r>
      <w:r>
        <w:rPr>
          <w:rFonts w:ascii="仿宋" w:eastAsia="仿宋" w:hAnsi="仿宋" w:hint="eastAsia"/>
          <w:b/>
          <w:szCs w:val="24"/>
          <w:lang w:eastAsia="zh-CN"/>
        </w:rPr>
        <w:t>其它业务申请</w:t>
      </w:r>
      <w:bookmarkEnd w:id="166"/>
      <w:bookmarkEnd w:id="167"/>
      <w:bookmarkEnd w:id="168"/>
      <w:bookmarkEnd w:id="169"/>
      <w:bookmarkEnd w:id="170"/>
      <w:bookmarkEnd w:id="171"/>
      <w:bookmarkEnd w:id="172"/>
      <w:bookmarkEnd w:id="173"/>
      <w:bookmarkEnd w:id="174"/>
      <w:bookmarkEnd w:id="175"/>
      <w:bookmarkEnd w:id="176"/>
    </w:p>
    <w:p w:rsidR="0095117E" w:rsidRDefault="00EE0FB3">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bookmarkStart w:id="177" w:name="_Toc302735386"/>
      <w:r>
        <w:rPr>
          <w:rFonts w:ascii="仿宋" w:eastAsia="仿宋" w:hAnsi="仿宋" w:hint="eastAsia"/>
          <w:bCs/>
          <w:kern w:val="2"/>
          <w:szCs w:val="24"/>
          <w:lang w:eastAsia="zh-CN" w:bidi="ar-SA"/>
        </w:rPr>
        <w:t>证券公司</w:t>
      </w:r>
      <w:r w:rsidR="00EB5038">
        <w:rPr>
          <w:rFonts w:ascii="仿宋" w:eastAsia="仿宋" w:hAnsi="仿宋" w:hint="eastAsia"/>
          <w:bCs/>
          <w:kern w:val="2"/>
          <w:szCs w:val="24"/>
          <w:lang w:eastAsia="zh-CN" w:bidi="ar-SA"/>
        </w:rPr>
        <w:t>IB业务所属客户需进行商品期货实物交割、商品期货套期保值申请、金融期货套期保值申请、仓单质押、程序化交易及期权、原油期货交易等其它业务的，协助开户岗接受客户申请并将相关资料递交至恒泰期货客户服务部进行办理。</w:t>
      </w:r>
    </w:p>
    <w:p w:rsidR="00000000" w:rsidRDefault="00EB5038" w:rsidP="00DD5597">
      <w:pPr>
        <w:spacing w:beforeLines="50" w:afterLines="50" w:line="360" w:lineRule="auto"/>
        <w:jc w:val="center"/>
        <w:outlineLvl w:val="1"/>
        <w:rPr>
          <w:rFonts w:ascii="仿宋" w:eastAsia="仿宋" w:hAnsi="仿宋"/>
          <w:b/>
          <w:szCs w:val="24"/>
          <w:lang w:eastAsia="zh-CN"/>
        </w:rPr>
      </w:pPr>
      <w:bookmarkStart w:id="178" w:name="_Toc15961"/>
      <w:bookmarkStart w:id="179" w:name="_Toc492286309"/>
      <w:bookmarkStart w:id="180" w:name="_Toc12404"/>
      <w:bookmarkStart w:id="181" w:name="_Toc11568"/>
      <w:bookmarkStart w:id="182" w:name="_Toc23034"/>
      <w:bookmarkStart w:id="183" w:name="_Toc21138"/>
      <w:bookmarkStart w:id="184" w:name="_Toc7969"/>
      <w:bookmarkStart w:id="185" w:name="_Toc492286274"/>
      <w:bookmarkStart w:id="186" w:name="_Toc22524"/>
      <w:r>
        <w:rPr>
          <w:rFonts w:ascii="仿宋" w:eastAsia="仿宋" w:hAnsi="仿宋" w:hint="eastAsia"/>
          <w:b/>
          <w:szCs w:val="24"/>
          <w:lang w:eastAsia="zh-CN"/>
        </w:rPr>
        <w:t xml:space="preserve">第九章 </w:t>
      </w:r>
      <w:bookmarkStart w:id="187" w:name="_Toc308173978"/>
      <w:bookmarkStart w:id="188" w:name="_Toc302735387"/>
      <w:bookmarkEnd w:id="177"/>
      <w:r>
        <w:rPr>
          <w:rFonts w:ascii="仿宋" w:eastAsia="仿宋" w:hAnsi="仿宋" w:hint="eastAsia"/>
          <w:b/>
          <w:szCs w:val="24"/>
          <w:lang w:eastAsia="zh-CN"/>
        </w:rPr>
        <w:t>客户销户</w:t>
      </w:r>
      <w:bookmarkEnd w:id="178"/>
      <w:bookmarkEnd w:id="179"/>
      <w:bookmarkEnd w:id="180"/>
      <w:bookmarkEnd w:id="181"/>
      <w:bookmarkEnd w:id="182"/>
      <w:bookmarkEnd w:id="183"/>
      <w:bookmarkEnd w:id="184"/>
      <w:bookmarkEnd w:id="185"/>
      <w:bookmarkEnd w:id="186"/>
      <w:bookmarkEnd w:id="187"/>
      <w:bookmarkEnd w:id="188"/>
    </w:p>
    <w:p w:rsidR="0095117E" w:rsidRDefault="00EE0FB3">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证券公司</w:t>
      </w:r>
      <w:r w:rsidR="00EB5038">
        <w:rPr>
          <w:rFonts w:ascii="仿宋" w:eastAsia="仿宋" w:hAnsi="仿宋"/>
          <w:bCs/>
          <w:kern w:val="2"/>
          <w:szCs w:val="24"/>
          <w:lang w:eastAsia="zh-CN" w:bidi="ar-SA"/>
        </w:rPr>
        <w:t>IB</w:t>
      </w:r>
      <w:r w:rsidR="00EB5038">
        <w:rPr>
          <w:rFonts w:ascii="仿宋" w:eastAsia="仿宋" w:hAnsi="仿宋" w:hint="eastAsia"/>
          <w:bCs/>
          <w:kern w:val="2"/>
          <w:szCs w:val="24"/>
          <w:lang w:eastAsia="zh-CN" w:bidi="ar-SA"/>
        </w:rPr>
        <w:t>营业部协助开户岗负责协助销户工作。依照客户自主选择原则，协助开户岗不得拒绝客户销户申请；对前来销户的客户，协助开户岗应充分沟通，了解销户原因。</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客户申请销户时，</w:t>
      </w:r>
      <w:r w:rsidR="00EE0FB3">
        <w:rPr>
          <w:rFonts w:ascii="仿宋" w:eastAsia="仿宋" w:hAnsi="仿宋" w:hint="eastAsia"/>
          <w:bCs/>
          <w:kern w:val="2"/>
          <w:szCs w:val="24"/>
          <w:lang w:eastAsia="zh-CN" w:bidi="ar-SA"/>
        </w:rPr>
        <w:t>证券公司</w:t>
      </w:r>
      <w:r>
        <w:rPr>
          <w:rFonts w:ascii="仿宋" w:eastAsia="仿宋" w:hAnsi="仿宋"/>
          <w:bCs/>
          <w:kern w:val="2"/>
          <w:szCs w:val="24"/>
          <w:lang w:eastAsia="zh-CN" w:bidi="ar-SA"/>
        </w:rPr>
        <w:t>IB</w:t>
      </w:r>
      <w:r>
        <w:rPr>
          <w:rFonts w:ascii="仿宋" w:eastAsia="仿宋" w:hAnsi="仿宋" w:hint="eastAsia"/>
          <w:bCs/>
          <w:kern w:val="2"/>
          <w:szCs w:val="24"/>
          <w:lang w:eastAsia="zh-CN" w:bidi="ar-SA"/>
        </w:rPr>
        <w:t>营业部协助开户岗需与恒泰</w:t>
      </w:r>
      <w:r>
        <w:rPr>
          <w:rFonts w:ascii="仿宋" w:eastAsia="仿宋" w:hAnsi="仿宋" w:hint="eastAsia"/>
          <w:bCs/>
          <w:kern w:val="2"/>
          <w:szCs w:val="24"/>
          <w:lang w:eastAsia="zh-CN" w:bidi="ar-SA"/>
        </w:rPr>
        <w:lastRenderedPageBreak/>
        <w:t>期货客户服务部确认客户对以往的交易、结算、资金均无异议方可办理销户。</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自然人客户申请销户时，应该提供和填写以下材料：</w:t>
      </w:r>
    </w:p>
    <w:p w:rsidR="0095117E" w:rsidRDefault="00EB5038">
      <w:pPr>
        <w:widowControl w:val="0"/>
        <w:spacing w:after="0" w:line="360" w:lineRule="auto"/>
        <w:ind w:left="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（一）本人身份证复印件；</w:t>
      </w:r>
      <w:r>
        <w:rPr>
          <w:rFonts w:ascii="仿宋" w:eastAsia="仿宋" w:hAnsi="仿宋"/>
          <w:bCs/>
          <w:kern w:val="2"/>
          <w:szCs w:val="24"/>
          <w:lang w:eastAsia="zh-CN" w:bidi="ar-SA"/>
        </w:rPr>
        <w:t xml:space="preserve"> </w:t>
      </w:r>
    </w:p>
    <w:p w:rsidR="0095117E" w:rsidRDefault="00EB5038">
      <w:pPr>
        <w:widowControl w:val="0"/>
        <w:spacing w:after="0" w:line="360" w:lineRule="auto"/>
        <w:ind w:left="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（二）由客户本人亲自填写《恒泰期货客户销户申请表》。</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法人客户申请销户时，应该提供和填写以下材料：</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（一）企业法人营业执照复印件；</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（二）法定代表人身份证复印件；</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（三）非法定代表人本人办理销户时，需提供由法定代表人签署的授权委托书及销户代理人身份证复印件。</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客户现场填写《恒泰期货客户销户申请表》，协助开户岗审核客户身份与填写内容，并经协助风控岗复核无误后将《恒泰期货客户销户申请表》等相关资料传真至恒泰期货客户服务部执行销户手续。《恒泰期货客户销户申请表》原件邮寄恒泰期货客户服务部，</w:t>
      </w:r>
      <w:r w:rsidR="00EE0FB3">
        <w:rPr>
          <w:rFonts w:ascii="仿宋" w:eastAsia="仿宋" w:hAnsi="仿宋" w:hint="eastAsia"/>
          <w:bCs/>
          <w:kern w:val="2"/>
          <w:szCs w:val="24"/>
          <w:lang w:eastAsia="zh-CN" w:bidi="ar-SA"/>
        </w:rPr>
        <w:t>证券公司</w:t>
      </w:r>
      <w:r>
        <w:rPr>
          <w:rFonts w:ascii="仿宋" w:eastAsia="仿宋" w:hAnsi="仿宋"/>
          <w:bCs/>
          <w:kern w:val="2"/>
          <w:szCs w:val="24"/>
          <w:lang w:eastAsia="zh-CN" w:bidi="ar-SA"/>
        </w:rPr>
        <w:t>IB</w:t>
      </w:r>
      <w:r>
        <w:rPr>
          <w:rFonts w:ascii="仿宋" w:eastAsia="仿宋" w:hAnsi="仿宋" w:hint="eastAsia"/>
          <w:bCs/>
          <w:kern w:val="2"/>
          <w:szCs w:val="24"/>
          <w:lang w:eastAsia="zh-CN" w:bidi="ar-SA"/>
        </w:rPr>
        <w:t>营业部保留复印件。</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当客户发生下列情形时，恒泰期货有权即时解除期货经纪合同，并通过平仓或执行质押物等方式对客户账户进行清算，注销其资金账户及交易编码：</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（一）客户提供的开户文件虚假或资金来源不合法的；</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（二）自然人客户死亡；法人客户发生经营期满、倒闭、停业、歇业、清算、被吊销法人资格、未进行或未通过相关部门的年检的；</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（三）客户被人民法院宣告进入破产程序；</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（四）客户在恒泰期货的账户被采取诉讼保全措施或者扣划。</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客户应对恒泰期货进行账户清算的费用和清算后的债务余额，以及所造成的损失负全部责任。</w:t>
      </w:r>
      <w:bookmarkStart w:id="189" w:name="_Toc302735388"/>
      <w:bookmarkStart w:id="190" w:name="_Toc308173979"/>
    </w:p>
    <w:p w:rsidR="00A7697B" w:rsidRDefault="00EE0FB3" w:rsidP="00A10E77">
      <w:pPr>
        <w:widowControl w:val="0"/>
        <w:numPr>
          <w:ilvl w:val="255"/>
          <w:numId w:val="0"/>
        </w:numPr>
        <w:spacing w:after="0" w:line="360" w:lineRule="auto"/>
        <w:ind w:leftChars="200" w:left="480"/>
        <w:jc w:val="both"/>
        <w:rPr>
          <w:rFonts w:ascii="仿宋" w:eastAsia="仿宋" w:hAnsi="仿宋"/>
          <w:b/>
          <w:szCs w:val="24"/>
          <w:lang w:eastAsia="zh-CN"/>
        </w:rPr>
      </w:pPr>
      <w:r>
        <w:rPr>
          <w:rFonts w:ascii="仿宋" w:eastAsia="仿宋" w:hAnsi="仿宋" w:hint="eastAsia"/>
          <w:bCs/>
          <w:kern w:val="2"/>
          <w:szCs w:val="24"/>
          <w:lang w:eastAsia="zh-CN" w:bidi="ar-SA"/>
        </w:rPr>
        <w:t>证券公司</w:t>
      </w:r>
      <w:r w:rsidR="00EB5038">
        <w:rPr>
          <w:rFonts w:ascii="仿宋" w:eastAsia="仿宋" w:hAnsi="仿宋"/>
          <w:bCs/>
          <w:kern w:val="2"/>
          <w:szCs w:val="24"/>
          <w:lang w:eastAsia="zh-CN" w:bidi="ar-SA"/>
        </w:rPr>
        <w:t>IB营业部</w:t>
      </w:r>
      <w:r w:rsidR="00EB5038">
        <w:rPr>
          <w:rFonts w:ascii="仿宋" w:eastAsia="仿宋" w:hAnsi="仿宋" w:hint="eastAsia"/>
          <w:bCs/>
          <w:kern w:val="2"/>
          <w:szCs w:val="24"/>
          <w:lang w:eastAsia="zh-CN" w:bidi="ar-SA"/>
        </w:rPr>
        <w:t>协助做好客户沟通、解释工作。</w:t>
      </w:r>
      <w:bookmarkStart w:id="191" w:name="_Toc24262"/>
      <w:bookmarkStart w:id="192" w:name="_Toc6579"/>
      <w:bookmarkStart w:id="193" w:name="_Toc17710"/>
      <w:bookmarkStart w:id="194" w:name="_Toc2374"/>
      <w:bookmarkStart w:id="195" w:name="_Toc492286275"/>
      <w:bookmarkStart w:id="196" w:name="_Toc492286310"/>
      <w:bookmarkStart w:id="197" w:name="_Toc6435"/>
      <w:bookmarkStart w:id="198" w:name="_Toc8296"/>
      <w:bookmarkStart w:id="199" w:name="_Toc21694"/>
    </w:p>
    <w:p w:rsidR="00000000" w:rsidRDefault="00EB5038" w:rsidP="00DD5597">
      <w:pPr>
        <w:spacing w:beforeLines="50" w:afterLines="50" w:line="360" w:lineRule="auto"/>
        <w:jc w:val="center"/>
        <w:outlineLvl w:val="1"/>
        <w:rPr>
          <w:rFonts w:ascii="仿宋" w:eastAsia="仿宋" w:hAnsi="仿宋"/>
          <w:b/>
          <w:szCs w:val="24"/>
          <w:lang w:eastAsia="zh-CN"/>
        </w:rPr>
      </w:pPr>
      <w:r>
        <w:rPr>
          <w:rFonts w:ascii="仿宋" w:eastAsia="仿宋" w:hAnsi="仿宋" w:hint="eastAsia"/>
          <w:b/>
          <w:szCs w:val="24"/>
          <w:lang w:eastAsia="zh-CN"/>
        </w:rPr>
        <w:t>第十章</w:t>
      </w:r>
      <w:r>
        <w:rPr>
          <w:rFonts w:ascii="仿宋" w:eastAsia="仿宋" w:hAnsi="仿宋"/>
          <w:b/>
          <w:szCs w:val="24"/>
          <w:lang w:eastAsia="zh-CN"/>
        </w:rPr>
        <w:t xml:space="preserve"> </w:t>
      </w:r>
      <w:r>
        <w:rPr>
          <w:rFonts w:ascii="仿宋" w:eastAsia="仿宋" w:hAnsi="仿宋" w:hint="eastAsia"/>
          <w:b/>
          <w:szCs w:val="24"/>
          <w:lang w:eastAsia="zh-CN"/>
        </w:rPr>
        <w:t>档案</w:t>
      </w:r>
      <w:bookmarkEnd w:id="189"/>
      <w:r>
        <w:rPr>
          <w:rFonts w:ascii="仿宋" w:eastAsia="仿宋" w:hAnsi="仿宋" w:hint="eastAsia"/>
          <w:b/>
          <w:szCs w:val="24"/>
          <w:lang w:eastAsia="zh-CN"/>
        </w:rPr>
        <w:t>管理</w:t>
      </w:r>
      <w:bookmarkEnd w:id="190"/>
      <w:bookmarkEnd w:id="191"/>
      <w:bookmarkEnd w:id="192"/>
      <w:bookmarkEnd w:id="193"/>
      <w:bookmarkEnd w:id="194"/>
      <w:bookmarkEnd w:id="195"/>
      <w:bookmarkEnd w:id="196"/>
      <w:bookmarkEnd w:id="197"/>
      <w:bookmarkEnd w:id="198"/>
      <w:bookmarkEnd w:id="199"/>
    </w:p>
    <w:p w:rsidR="00000000" w:rsidRDefault="00EB5038" w:rsidP="00DD5597">
      <w:pPr>
        <w:spacing w:beforeLines="50" w:afterLines="50" w:line="360" w:lineRule="auto"/>
        <w:jc w:val="center"/>
        <w:outlineLvl w:val="1"/>
        <w:rPr>
          <w:rFonts w:ascii="仿宋" w:eastAsia="仿宋" w:hAnsi="仿宋"/>
          <w:b/>
          <w:szCs w:val="24"/>
          <w:lang w:eastAsia="zh-CN"/>
        </w:rPr>
      </w:pPr>
      <w:bookmarkStart w:id="200" w:name="_Toc492286311"/>
      <w:bookmarkStart w:id="201" w:name="_Toc16371"/>
      <w:bookmarkStart w:id="202" w:name="_Toc19938"/>
      <w:bookmarkStart w:id="203" w:name="_Toc302735389"/>
      <w:bookmarkStart w:id="204" w:name="_Toc23211"/>
      <w:bookmarkStart w:id="205" w:name="_Toc27830"/>
      <w:bookmarkStart w:id="206" w:name="_Toc3133"/>
      <w:bookmarkStart w:id="207" w:name="_Toc492286276"/>
      <w:bookmarkStart w:id="208" w:name="_Toc22638"/>
      <w:bookmarkStart w:id="209" w:name="_Toc308173980"/>
      <w:r>
        <w:rPr>
          <w:rFonts w:ascii="仿宋" w:eastAsia="仿宋" w:hAnsi="仿宋" w:hint="eastAsia"/>
          <w:b/>
          <w:szCs w:val="24"/>
          <w:lang w:eastAsia="zh-CN"/>
        </w:rPr>
        <w:t>第一节</w:t>
      </w:r>
      <w:r>
        <w:rPr>
          <w:rFonts w:ascii="仿宋" w:eastAsia="仿宋" w:hAnsi="仿宋"/>
          <w:b/>
          <w:szCs w:val="24"/>
          <w:lang w:eastAsia="zh-CN"/>
        </w:rPr>
        <w:t xml:space="preserve"> </w:t>
      </w:r>
      <w:r>
        <w:rPr>
          <w:rFonts w:ascii="仿宋" w:eastAsia="仿宋" w:hAnsi="仿宋" w:hint="eastAsia"/>
          <w:b/>
          <w:szCs w:val="24"/>
          <w:lang w:eastAsia="zh-CN"/>
        </w:rPr>
        <w:t>开户资料领用</w:t>
      </w:r>
      <w:bookmarkEnd w:id="200"/>
      <w:bookmarkEnd w:id="201"/>
      <w:bookmarkEnd w:id="202"/>
      <w:bookmarkEnd w:id="203"/>
      <w:bookmarkEnd w:id="204"/>
      <w:bookmarkEnd w:id="205"/>
      <w:bookmarkEnd w:id="206"/>
      <w:bookmarkEnd w:id="207"/>
      <w:bookmarkEnd w:id="208"/>
      <w:bookmarkEnd w:id="209"/>
    </w:p>
    <w:p w:rsidR="0095117E" w:rsidRDefault="00EE0FB3">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证券公司</w:t>
      </w:r>
      <w:r w:rsidR="00EB5038">
        <w:rPr>
          <w:rFonts w:ascii="仿宋" w:eastAsia="仿宋" w:hAnsi="仿宋" w:hint="eastAsia"/>
          <w:bCs/>
          <w:kern w:val="2"/>
          <w:szCs w:val="24"/>
          <w:lang w:eastAsia="zh-CN" w:bidi="ar-SA"/>
        </w:rPr>
        <w:t>IB营业部协助开户岗填写《开户资料领用申请表》</w:t>
      </w:r>
      <w:r w:rsidR="00EB5038">
        <w:rPr>
          <w:rFonts w:ascii="仿宋" w:eastAsia="仿宋" w:hAnsi="仿宋" w:hint="eastAsia"/>
          <w:bCs/>
          <w:kern w:val="2"/>
          <w:szCs w:val="24"/>
          <w:lang w:eastAsia="zh-CN" w:bidi="ar-SA"/>
        </w:rPr>
        <w:lastRenderedPageBreak/>
        <w:t>向恒泰期货金融期货部领取开户资料。金融期货部根据《开户资料领用申请表》内容，做好合同编号登记后将开户资料配送至</w:t>
      </w:r>
      <w:r>
        <w:rPr>
          <w:rFonts w:ascii="仿宋" w:eastAsia="仿宋" w:hAnsi="仿宋" w:hint="eastAsia"/>
          <w:bCs/>
          <w:kern w:val="2"/>
          <w:szCs w:val="24"/>
          <w:lang w:eastAsia="zh-CN" w:bidi="ar-SA"/>
        </w:rPr>
        <w:t>证券公司</w:t>
      </w:r>
      <w:r w:rsidR="00EB5038">
        <w:rPr>
          <w:rFonts w:ascii="仿宋" w:eastAsia="仿宋" w:hAnsi="仿宋" w:hint="eastAsia"/>
          <w:bCs/>
          <w:kern w:val="2"/>
          <w:szCs w:val="24"/>
          <w:lang w:eastAsia="zh-CN" w:bidi="ar-SA"/>
        </w:rPr>
        <w:t>IB营业部。</w:t>
      </w:r>
    </w:p>
    <w:p w:rsidR="0095117E" w:rsidRDefault="00EE0FB3">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证券公司</w:t>
      </w:r>
      <w:r w:rsidR="00EB5038">
        <w:rPr>
          <w:rFonts w:ascii="仿宋" w:eastAsia="仿宋" w:hAnsi="仿宋"/>
          <w:bCs/>
          <w:kern w:val="2"/>
          <w:szCs w:val="24"/>
          <w:lang w:eastAsia="zh-CN" w:bidi="ar-SA"/>
        </w:rPr>
        <w:t>IB</w:t>
      </w:r>
      <w:r w:rsidR="00EB5038">
        <w:rPr>
          <w:rFonts w:ascii="仿宋" w:eastAsia="仿宋" w:hAnsi="仿宋" w:hint="eastAsia"/>
          <w:bCs/>
          <w:kern w:val="2"/>
          <w:szCs w:val="24"/>
          <w:lang w:eastAsia="zh-CN" w:bidi="ar-SA"/>
        </w:rPr>
        <w:t>营业部指定协助开户岗专人管理期货经纪合同，并为已收到的期货经纪合同建立使用档案，统一存放在档案柜中，确保每套合同使用的可追查性。</w:t>
      </w:r>
    </w:p>
    <w:p w:rsidR="00000000" w:rsidRDefault="00EB5038" w:rsidP="00DD5597">
      <w:pPr>
        <w:spacing w:beforeLines="50" w:afterLines="50" w:line="360" w:lineRule="auto"/>
        <w:jc w:val="center"/>
        <w:outlineLvl w:val="1"/>
        <w:rPr>
          <w:rFonts w:ascii="仿宋" w:eastAsia="仿宋" w:hAnsi="仿宋"/>
          <w:b/>
          <w:szCs w:val="24"/>
          <w:lang w:eastAsia="zh-CN"/>
        </w:rPr>
      </w:pPr>
      <w:bookmarkStart w:id="210" w:name="_Toc4602"/>
      <w:bookmarkStart w:id="211" w:name="_Toc492286278"/>
      <w:bookmarkStart w:id="212" w:name="_Toc492286313"/>
      <w:bookmarkStart w:id="213" w:name="_Toc28414"/>
      <w:bookmarkStart w:id="214" w:name="_Toc31124"/>
      <w:bookmarkStart w:id="215" w:name="_Toc24459"/>
      <w:bookmarkStart w:id="216" w:name="_Toc302735391"/>
      <w:bookmarkStart w:id="217" w:name="_Toc28644"/>
      <w:bookmarkStart w:id="218" w:name="_Toc308173981"/>
      <w:bookmarkStart w:id="219" w:name="_Toc23002"/>
      <w:r>
        <w:rPr>
          <w:rFonts w:ascii="仿宋" w:eastAsia="仿宋" w:hAnsi="仿宋" w:hint="eastAsia"/>
          <w:b/>
          <w:szCs w:val="24"/>
          <w:lang w:eastAsia="zh-CN"/>
        </w:rPr>
        <w:t>第二节</w:t>
      </w:r>
      <w:r>
        <w:rPr>
          <w:rFonts w:ascii="仿宋" w:eastAsia="仿宋" w:hAnsi="仿宋"/>
          <w:b/>
          <w:szCs w:val="24"/>
          <w:lang w:eastAsia="zh-CN"/>
        </w:rPr>
        <w:t xml:space="preserve"> </w:t>
      </w:r>
      <w:r>
        <w:rPr>
          <w:rFonts w:ascii="仿宋" w:eastAsia="仿宋" w:hAnsi="仿宋" w:hint="eastAsia"/>
          <w:b/>
          <w:szCs w:val="24"/>
          <w:lang w:eastAsia="zh-CN"/>
        </w:rPr>
        <w:t>客户资料保管及调阅</w:t>
      </w:r>
      <w:bookmarkEnd w:id="210"/>
      <w:bookmarkEnd w:id="211"/>
      <w:bookmarkEnd w:id="212"/>
      <w:bookmarkEnd w:id="213"/>
      <w:bookmarkEnd w:id="214"/>
      <w:bookmarkEnd w:id="215"/>
      <w:bookmarkEnd w:id="216"/>
      <w:bookmarkEnd w:id="217"/>
      <w:bookmarkEnd w:id="218"/>
      <w:bookmarkEnd w:id="219"/>
    </w:p>
    <w:p w:rsidR="0095117E" w:rsidRDefault="00EE0FB3">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证券公司</w:t>
      </w:r>
      <w:r w:rsidR="00EB5038">
        <w:rPr>
          <w:rFonts w:ascii="仿宋" w:eastAsia="仿宋" w:hAnsi="仿宋"/>
          <w:bCs/>
          <w:kern w:val="2"/>
          <w:szCs w:val="24"/>
          <w:lang w:eastAsia="zh-CN" w:bidi="ar-SA"/>
        </w:rPr>
        <w:t>IB</w:t>
      </w:r>
      <w:r w:rsidR="00EB5038">
        <w:rPr>
          <w:rFonts w:ascii="仿宋" w:eastAsia="仿宋" w:hAnsi="仿宋" w:hint="eastAsia"/>
          <w:bCs/>
          <w:kern w:val="2"/>
          <w:szCs w:val="24"/>
          <w:lang w:eastAsia="zh-CN" w:bidi="ar-SA"/>
        </w:rPr>
        <w:t>营业部由协助开户岗负责管理</w:t>
      </w:r>
      <w:r w:rsidR="00EB5038">
        <w:rPr>
          <w:rFonts w:ascii="仿宋" w:eastAsia="仿宋" w:hAnsi="仿宋"/>
          <w:bCs/>
          <w:kern w:val="2"/>
          <w:szCs w:val="24"/>
          <w:lang w:eastAsia="zh-CN" w:bidi="ar-SA"/>
        </w:rPr>
        <w:t>IB</w:t>
      </w:r>
      <w:r w:rsidR="00EB5038">
        <w:rPr>
          <w:rFonts w:ascii="仿宋" w:eastAsia="仿宋" w:hAnsi="仿宋" w:hint="eastAsia"/>
          <w:bCs/>
          <w:kern w:val="2"/>
          <w:szCs w:val="24"/>
          <w:lang w:eastAsia="zh-CN" w:bidi="ar-SA"/>
        </w:rPr>
        <w:t>业务档案资料，相关资料的保存期均不得少于五年。</w:t>
      </w:r>
    </w:p>
    <w:p w:rsidR="0095117E" w:rsidRDefault="00EE0FB3">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证券公司</w:t>
      </w:r>
      <w:r w:rsidR="00EB5038">
        <w:rPr>
          <w:rFonts w:ascii="仿宋" w:eastAsia="仿宋" w:hAnsi="仿宋"/>
          <w:bCs/>
          <w:kern w:val="2"/>
          <w:szCs w:val="24"/>
          <w:lang w:eastAsia="zh-CN" w:bidi="ar-SA"/>
        </w:rPr>
        <w:t>IB</w:t>
      </w:r>
      <w:r w:rsidR="00EB5038">
        <w:rPr>
          <w:rFonts w:ascii="仿宋" w:eastAsia="仿宋" w:hAnsi="仿宋" w:hint="eastAsia"/>
          <w:bCs/>
          <w:kern w:val="2"/>
          <w:szCs w:val="24"/>
          <w:lang w:eastAsia="zh-CN" w:bidi="ar-SA"/>
        </w:rPr>
        <w:t>业务必须留存客户的纸质开户资料为：</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w:t>
      </w:r>
      <w:r>
        <w:rPr>
          <w:rFonts w:ascii="仿宋" w:eastAsia="仿宋" w:hAnsi="仿宋" w:hint="eastAsia"/>
          <w:bCs/>
          <w:kern w:val="2"/>
          <w:szCs w:val="24"/>
          <w:lang w:eastAsia="zh-CN" w:bidi="ar-SA"/>
        </w:rPr>
        <w:t>期货经纪合同；</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（二）自然人、法定代表人、开户代理人、指令下达人、资金调拨人、结算单确认人身份证正反面复印件（法人客户相关人员身份证复印件须加盖法人公章）；</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（三）加盖法人公章的营业执照本复印件；</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（四）法人客户有开户代理人的，留存法定代表人签字并加盖公章的法人授权书原件；</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（五）其他纸质材料。</w:t>
      </w:r>
    </w:p>
    <w:p w:rsidR="0095117E" w:rsidRDefault="00EE0FB3">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证券公司</w:t>
      </w:r>
      <w:r w:rsidR="00EB5038">
        <w:rPr>
          <w:rFonts w:ascii="仿宋" w:eastAsia="仿宋" w:hAnsi="仿宋"/>
          <w:bCs/>
          <w:kern w:val="2"/>
          <w:szCs w:val="24"/>
          <w:lang w:eastAsia="zh-CN" w:bidi="ar-SA"/>
        </w:rPr>
        <w:t>IB</w:t>
      </w:r>
      <w:r w:rsidR="00EB5038">
        <w:rPr>
          <w:rFonts w:ascii="仿宋" w:eastAsia="仿宋" w:hAnsi="仿宋" w:hint="eastAsia"/>
          <w:bCs/>
          <w:kern w:val="2"/>
          <w:szCs w:val="24"/>
          <w:lang w:eastAsia="zh-CN" w:bidi="ar-SA"/>
        </w:rPr>
        <w:t>业务必须留存的影像资料电子文档为：</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（一）自然人客户：需留存</w:t>
      </w:r>
      <w:r>
        <w:rPr>
          <w:rFonts w:ascii="仿宋" w:eastAsia="仿宋" w:hAnsi="仿宋"/>
          <w:szCs w:val="24"/>
          <w:lang w:eastAsia="zh-CN"/>
        </w:rPr>
        <w:t>4</w:t>
      </w:r>
      <w:r>
        <w:rPr>
          <w:rFonts w:ascii="仿宋" w:eastAsia="仿宋" w:hAnsi="仿宋" w:hint="eastAsia"/>
          <w:szCs w:val="24"/>
          <w:lang w:eastAsia="zh-CN"/>
        </w:rPr>
        <w:t>份影像资料，包括客户头部正面照、客户身份证正面扫描件、反面扫描件、开户人签署合同的姿势照；</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（二）法人客户：需留存5份影像资料，包括开户人头部正面照、开户人身份证正面扫描件、反面扫描件、营业执照扫描件、开户人签署合同的姿势照。</w:t>
      </w:r>
    </w:p>
    <w:p w:rsidR="0095117E" w:rsidRDefault="00EE0FB3">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证券公司</w:t>
      </w:r>
      <w:r w:rsidR="00EB5038">
        <w:rPr>
          <w:rFonts w:ascii="仿宋" w:eastAsia="仿宋" w:hAnsi="仿宋" w:hint="eastAsia"/>
          <w:bCs/>
          <w:kern w:val="2"/>
          <w:szCs w:val="24"/>
          <w:lang w:eastAsia="zh-CN" w:bidi="ar-SA"/>
        </w:rPr>
        <w:t>IB营业部必须留存的电子文档包括但不限于以下材料：</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（一）对客户所签《投资者基本信息表》进行拍摄或扫描留存，留存电子文档；</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lastRenderedPageBreak/>
        <w:t>（二）对《普通投资者风险承受能力评估问卷》投资者签字页进行拍摄或扫描留存，留存电子文档；</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（三）对《普通投资者适当性匹配意见告知书》或《普通投资者申请高于自身风险承受能力服务风险警示书》进行拍摄或扫描留存，留存电子文档；</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（五）对《普通投资者特别风险警示书》进行拍摄或扫描留存，留存电子文档；</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（六）对《个人税收居民身份声明书》或《机构税收居民身份申明书》进行拍摄或扫描留存，留存电子文档；</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七）对同一客户所签《期货经纪合同》的全部填写及签字页进行同页拍摄（签署合同为一式二份的，为相同二页同页拍摄，签署合同为一式三份的，为相同三页同页拍摄），留存电子文档。协助开户岗须确保相应电子文档中所有填写处能完整体现、清晰可辨；</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（八）对客户、恒泰期货留存的银期转账协议签字页拍摄或扫描，留存电子文档；</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（九）对《恒泰期货客户服务登记表》进行拍摄或扫描留存，留存电子文档；</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（十）对《恒泰期货客户服务提示》进行拍摄或扫描，留存电子文档；</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（十一）对《恒泰期货实际控制关系账户信息申报告知书》进行拍摄或扫描留存，留存电子文档；</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（十二）申请金融期货交易编码的客户，对《金融期货开户申请表》金融期货知识测试成绩单等材料进行拍摄或扫描；留存电子文档；</w:t>
      </w:r>
    </w:p>
    <w:p w:rsidR="0095117E" w:rsidRDefault="00EB5038">
      <w:pPr>
        <w:spacing w:after="0" w:line="360" w:lineRule="auto"/>
        <w:ind w:firstLineChars="200" w:firstLine="480"/>
        <w:rPr>
          <w:rFonts w:ascii="仿宋" w:eastAsia="仿宋" w:hAnsi="仿宋"/>
          <w:szCs w:val="24"/>
          <w:lang w:eastAsia="zh-CN"/>
        </w:rPr>
      </w:pPr>
      <w:r>
        <w:rPr>
          <w:rFonts w:ascii="仿宋" w:eastAsia="仿宋" w:hAnsi="仿宋" w:hint="eastAsia"/>
          <w:szCs w:val="24"/>
          <w:lang w:eastAsia="zh-CN"/>
        </w:rPr>
        <w:t>（十三）申请期权交易权限的客户，对《期权交易特别风险揭示》、《关于期权交易的补充协议》、《期权交易权限申请表》、投资者已签字的期权知识测试成绩单等材料进行拍摄或扫描；（十四）申请原油期货交易编码的客户，对《能源期货交易特别风险揭示》、《客户承诺书》、《能源中心交易编码申请表》《原油期货基础知识测试题》答案页和投资者签字页等材料进行拍摄或扫描。</w:t>
      </w:r>
    </w:p>
    <w:p w:rsidR="0095117E" w:rsidRDefault="00EB5038">
      <w:pPr>
        <w:spacing w:after="0" w:line="360" w:lineRule="auto"/>
        <w:ind w:firstLineChars="200" w:firstLine="480"/>
        <w:rPr>
          <w:rFonts w:ascii="仿宋" w:eastAsia="仿宋" w:hAnsi="仿宋"/>
          <w:bCs/>
          <w:kern w:val="2"/>
          <w:szCs w:val="24"/>
          <w:lang w:eastAsia="zh-CN" w:bidi="ar-SA"/>
        </w:rPr>
      </w:pPr>
      <w:r>
        <w:rPr>
          <w:rFonts w:ascii="仿宋" w:eastAsia="仿宋" w:hAnsi="仿宋" w:hint="eastAsia"/>
          <w:szCs w:val="24"/>
          <w:lang w:eastAsia="zh-CN"/>
        </w:rPr>
        <w:t>前述所有影像资料客户填写字迹须清晰可辨。</w:t>
      </w:r>
      <w:r w:rsidR="00EE0FB3">
        <w:rPr>
          <w:rFonts w:ascii="仿宋" w:eastAsia="仿宋" w:hAnsi="仿宋" w:hint="eastAsia"/>
          <w:bCs/>
          <w:kern w:val="2"/>
          <w:szCs w:val="24"/>
          <w:lang w:eastAsia="zh-CN" w:bidi="ar-SA"/>
        </w:rPr>
        <w:t>证券公司</w:t>
      </w:r>
      <w:r>
        <w:rPr>
          <w:rFonts w:ascii="仿宋" w:eastAsia="仿宋" w:hAnsi="仿宋" w:hint="eastAsia"/>
          <w:bCs/>
          <w:kern w:val="2"/>
          <w:szCs w:val="24"/>
          <w:lang w:eastAsia="zh-CN" w:bidi="ar-SA"/>
        </w:rPr>
        <w:t>IB营业部通过留存电子文档，完成业务过程记录，进行业务留痕。</w:t>
      </w:r>
    </w:p>
    <w:p w:rsidR="0095117E" w:rsidRDefault="00EE0FB3">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证券公司</w:t>
      </w:r>
      <w:r w:rsidR="00EB5038">
        <w:rPr>
          <w:rFonts w:ascii="仿宋" w:eastAsia="仿宋" w:hAnsi="仿宋"/>
          <w:bCs/>
          <w:kern w:val="2"/>
          <w:szCs w:val="24"/>
          <w:lang w:eastAsia="zh-CN" w:bidi="ar-SA"/>
        </w:rPr>
        <w:t>IB</w:t>
      </w:r>
      <w:r w:rsidR="00EB5038">
        <w:rPr>
          <w:rFonts w:ascii="仿宋" w:eastAsia="仿宋" w:hAnsi="仿宋" w:hint="eastAsia"/>
          <w:bCs/>
          <w:kern w:val="2"/>
          <w:szCs w:val="24"/>
          <w:lang w:eastAsia="zh-CN" w:bidi="ar-SA"/>
        </w:rPr>
        <w:t>营业部需调阅恒泰期货开户资料时，填写申请</w:t>
      </w:r>
      <w:r w:rsidR="00EB5038">
        <w:rPr>
          <w:rFonts w:ascii="仿宋" w:eastAsia="仿宋" w:hAnsi="仿宋" w:hint="eastAsia"/>
          <w:bCs/>
          <w:kern w:val="2"/>
          <w:szCs w:val="24"/>
          <w:lang w:eastAsia="zh-CN" w:bidi="ar-SA"/>
        </w:rPr>
        <w:lastRenderedPageBreak/>
        <w:t>表，经</w:t>
      </w:r>
      <w:r>
        <w:rPr>
          <w:rFonts w:ascii="仿宋" w:eastAsia="仿宋" w:hAnsi="仿宋" w:hint="eastAsia"/>
          <w:bCs/>
          <w:kern w:val="2"/>
          <w:szCs w:val="24"/>
          <w:lang w:eastAsia="zh-CN" w:bidi="ar-SA"/>
        </w:rPr>
        <w:t>证券公司</w:t>
      </w:r>
      <w:r w:rsidR="00EB5038">
        <w:rPr>
          <w:rFonts w:ascii="仿宋" w:eastAsia="仿宋" w:hAnsi="仿宋"/>
          <w:bCs/>
          <w:kern w:val="2"/>
          <w:szCs w:val="24"/>
          <w:lang w:eastAsia="zh-CN" w:bidi="ar-SA"/>
        </w:rPr>
        <w:t>IB</w:t>
      </w:r>
      <w:r w:rsidR="00EB5038">
        <w:rPr>
          <w:rFonts w:ascii="仿宋" w:eastAsia="仿宋" w:hAnsi="仿宋" w:hint="eastAsia"/>
          <w:bCs/>
          <w:kern w:val="2"/>
          <w:szCs w:val="24"/>
          <w:lang w:eastAsia="zh-CN" w:bidi="ar-SA"/>
        </w:rPr>
        <w:t>营业部负责人签字后，传真至恒泰期货办理调阅手续。</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调阅的开户资料用完后应及时归还；调阅使用时须妥善保管，不得遗失，不得转借、涂改、圈划、损坏、不准拆散案卷。</w:t>
      </w:r>
      <w:r w:rsidR="00EE0FB3">
        <w:rPr>
          <w:rFonts w:ascii="仿宋" w:eastAsia="仿宋" w:hAnsi="仿宋" w:hint="eastAsia"/>
          <w:bCs/>
          <w:kern w:val="2"/>
          <w:szCs w:val="24"/>
          <w:lang w:eastAsia="zh-CN" w:bidi="ar-SA"/>
        </w:rPr>
        <w:t>证券公司</w:t>
      </w:r>
      <w:r>
        <w:rPr>
          <w:rFonts w:ascii="仿宋" w:eastAsia="仿宋" w:hAnsi="仿宋"/>
          <w:bCs/>
          <w:kern w:val="2"/>
          <w:szCs w:val="24"/>
          <w:lang w:eastAsia="zh-CN" w:bidi="ar-SA"/>
        </w:rPr>
        <w:t>IB</w:t>
      </w:r>
      <w:r>
        <w:rPr>
          <w:rFonts w:ascii="仿宋" w:eastAsia="仿宋" w:hAnsi="仿宋" w:hint="eastAsia"/>
          <w:bCs/>
          <w:kern w:val="2"/>
          <w:szCs w:val="24"/>
          <w:lang w:eastAsia="zh-CN" w:bidi="ar-SA"/>
        </w:rPr>
        <w:t>营业部未经恒泰期货同意不得复印或转借开户材料。</w:t>
      </w:r>
      <w:bookmarkStart w:id="220" w:name="_Toc302735392"/>
      <w:bookmarkStart w:id="221" w:name="_Toc308173982"/>
    </w:p>
    <w:p w:rsidR="00A7697B" w:rsidRDefault="00EB5038" w:rsidP="00DD5597">
      <w:pPr>
        <w:spacing w:beforeLines="50" w:afterLines="50" w:line="360" w:lineRule="auto"/>
        <w:jc w:val="center"/>
        <w:outlineLvl w:val="1"/>
        <w:rPr>
          <w:rFonts w:ascii="仿宋" w:eastAsia="仿宋" w:hAnsi="仿宋"/>
          <w:b/>
          <w:szCs w:val="24"/>
          <w:lang w:eastAsia="zh-CN"/>
        </w:rPr>
      </w:pPr>
      <w:bookmarkStart w:id="222" w:name="_Toc26916"/>
      <w:bookmarkStart w:id="223" w:name="_Toc492286279"/>
      <w:bookmarkStart w:id="224" w:name="_Toc16627"/>
      <w:bookmarkStart w:id="225" w:name="_Toc24521"/>
      <w:bookmarkStart w:id="226" w:name="_Toc11999"/>
      <w:bookmarkStart w:id="227" w:name="_Toc492286314"/>
      <w:bookmarkStart w:id="228" w:name="_Toc10351"/>
      <w:bookmarkStart w:id="229" w:name="_Toc24783"/>
      <w:r>
        <w:rPr>
          <w:rFonts w:ascii="仿宋" w:eastAsia="仿宋" w:hAnsi="仿宋" w:hint="eastAsia"/>
          <w:b/>
          <w:szCs w:val="24"/>
          <w:lang w:eastAsia="zh-CN"/>
        </w:rPr>
        <w:t>第十一章</w:t>
      </w:r>
      <w:r>
        <w:rPr>
          <w:rFonts w:ascii="仿宋" w:eastAsia="仿宋" w:hAnsi="仿宋"/>
          <w:b/>
          <w:szCs w:val="24"/>
          <w:lang w:eastAsia="zh-CN"/>
        </w:rPr>
        <w:t xml:space="preserve"> </w:t>
      </w:r>
      <w:r>
        <w:rPr>
          <w:rFonts w:ascii="仿宋" w:eastAsia="仿宋" w:hAnsi="仿宋" w:hint="eastAsia"/>
          <w:b/>
          <w:szCs w:val="24"/>
          <w:lang w:eastAsia="zh-CN"/>
        </w:rPr>
        <w:t>附则</w:t>
      </w:r>
      <w:bookmarkEnd w:id="220"/>
      <w:bookmarkEnd w:id="221"/>
      <w:bookmarkEnd w:id="222"/>
      <w:bookmarkEnd w:id="223"/>
      <w:bookmarkEnd w:id="224"/>
      <w:bookmarkEnd w:id="225"/>
      <w:bookmarkEnd w:id="226"/>
      <w:bookmarkEnd w:id="227"/>
      <w:bookmarkEnd w:id="228"/>
      <w:bookmarkEnd w:id="229"/>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本细则由</w:t>
      </w:r>
      <w:r w:rsidR="00953EC8">
        <w:rPr>
          <w:rFonts w:ascii="仿宋" w:eastAsia="仿宋" w:hAnsi="仿宋" w:hint="eastAsia"/>
          <w:bCs/>
          <w:kern w:val="2"/>
          <w:szCs w:val="24"/>
          <w:lang w:eastAsia="zh-CN" w:bidi="ar-SA"/>
        </w:rPr>
        <w:t>金融</w:t>
      </w:r>
      <w:r>
        <w:rPr>
          <w:rFonts w:ascii="仿宋" w:eastAsia="仿宋" w:hAnsi="仿宋" w:hint="eastAsia"/>
          <w:bCs/>
          <w:kern w:val="2"/>
          <w:szCs w:val="24"/>
          <w:lang w:eastAsia="zh-CN" w:bidi="ar-SA"/>
        </w:rPr>
        <w:t>期货</w:t>
      </w:r>
      <w:r w:rsidR="00953EC8">
        <w:rPr>
          <w:rFonts w:ascii="仿宋" w:eastAsia="仿宋" w:hAnsi="仿宋" w:hint="eastAsia"/>
          <w:bCs/>
          <w:kern w:val="2"/>
          <w:szCs w:val="24"/>
          <w:lang w:eastAsia="zh-CN" w:bidi="ar-SA"/>
        </w:rPr>
        <w:t>部</w:t>
      </w:r>
      <w:r>
        <w:rPr>
          <w:rFonts w:ascii="仿宋" w:eastAsia="仿宋" w:hAnsi="仿宋" w:hint="eastAsia"/>
          <w:bCs/>
          <w:kern w:val="2"/>
          <w:szCs w:val="24"/>
          <w:lang w:eastAsia="zh-CN" w:bidi="ar-SA"/>
        </w:rPr>
        <w:t>负责解释和修订。</w:t>
      </w:r>
    </w:p>
    <w:p w:rsidR="0095117E" w:rsidRDefault="00EB5038">
      <w:pPr>
        <w:widowControl w:val="0"/>
        <w:numPr>
          <w:ilvl w:val="0"/>
          <w:numId w:val="1"/>
        </w:numPr>
        <w:spacing w:after="0" w:line="360" w:lineRule="auto"/>
        <w:ind w:left="0" w:firstLineChars="200" w:firstLine="480"/>
        <w:jc w:val="both"/>
        <w:rPr>
          <w:rFonts w:ascii="仿宋" w:eastAsia="仿宋" w:hAnsi="仿宋"/>
          <w:bCs/>
          <w:kern w:val="2"/>
          <w:szCs w:val="24"/>
          <w:lang w:eastAsia="zh-CN" w:bidi="ar-SA"/>
        </w:rPr>
      </w:pPr>
      <w:r>
        <w:rPr>
          <w:rFonts w:ascii="仿宋" w:eastAsia="仿宋" w:hAnsi="仿宋" w:hint="eastAsia"/>
          <w:bCs/>
          <w:kern w:val="2"/>
          <w:szCs w:val="24"/>
          <w:lang w:eastAsia="zh-CN" w:bidi="ar-SA"/>
        </w:rPr>
        <w:t>本细则自下发之日起实施。</w:t>
      </w:r>
      <w:bookmarkStart w:id="230" w:name="_Toc27857"/>
      <w:bookmarkStart w:id="231" w:name="_Toc27494"/>
      <w:bookmarkStart w:id="232" w:name="_Toc29923"/>
      <w:bookmarkStart w:id="233" w:name="_Toc25824"/>
      <w:bookmarkStart w:id="234" w:name="_Toc8214"/>
    </w:p>
    <w:p w:rsidR="0095117E" w:rsidRDefault="0095117E">
      <w:pPr>
        <w:widowControl w:val="0"/>
        <w:spacing w:after="0" w:line="360" w:lineRule="auto"/>
        <w:jc w:val="both"/>
        <w:rPr>
          <w:rFonts w:ascii="仿宋" w:eastAsia="仿宋" w:hAnsi="仿宋"/>
          <w:bCs/>
          <w:kern w:val="2"/>
          <w:szCs w:val="24"/>
          <w:lang w:eastAsia="zh-CN" w:bidi="ar-SA"/>
        </w:rPr>
      </w:pPr>
    </w:p>
    <w:p w:rsidR="0095117E" w:rsidRDefault="0095117E">
      <w:pPr>
        <w:pStyle w:val="13"/>
        <w:spacing w:line="360" w:lineRule="auto"/>
        <w:ind w:firstLine="420"/>
        <w:rPr>
          <w:color w:val="000000"/>
        </w:rPr>
      </w:pPr>
      <w:bookmarkStart w:id="235" w:name="_GoBack"/>
      <w:bookmarkEnd w:id="230"/>
      <w:bookmarkEnd w:id="231"/>
      <w:bookmarkEnd w:id="232"/>
      <w:bookmarkEnd w:id="233"/>
      <w:bookmarkEnd w:id="234"/>
      <w:bookmarkEnd w:id="235"/>
    </w:p>
    <w:sectPr w:rsidR="0095117E" w:rsidSect="0095117E">
      <w:headerReference w:type="default" r:id="rId15"/>
      <w:footerReference w:type="default" r:id="rId16"/>
      <w:footerReference w:type="first" r:id="rId17"/>
      <w:pgSz w:w="11906" w:h="16838"/>
      <w:pgMar w:top="1440" w:right="1800" w:bottom="1440" w:left="1800" w:header="851" w:footer="992" w:gutter="0"/>
      <w:pgNumType w:fmt="numberInDash" w:start="1"/>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BD1" w:rsidRDefault="00E07BD1" w:rsidP="0095117E">
      <w:pPr>
        <w:spacing w:after="0" w:line="240" w:lineRule="auto"/>
      </w:pPr>
      <w:r>
        <w:separator/>
      </w:r>
    </w:p>
  </w:endnote>
  <w:endnote w:type="continuationSeparator" w:id="0">
    <w:p w:rsidR="00E07BD1" w:rsidRDefault="00E07BD1" w:rsidP="00951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8B" w:rsidRDefault="006D4C8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8B" w:rsidRDefault="006D4C8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8B" w:rsidRDefault="006D4C8B">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19F" w:rsidRDefault="00242F42">
    <w:pPr>
      <w:pStyle w:val="a6"/>
      <w:rPr>
        <w:lang w:eastAsia="zh-CN"/>
      </w:rPr>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eHDz1wAEAAGYDAAAOAAAAAAAAAAEAIAAAAB4BAABkcnMvZTJvRG9jLnhtbFBLBQYA&#10;AAAABgAGAFkBAABQBQAAAAA=&#10;" filled="f" stroked="f">
          <v:textbox style="mso-fit-shape-to-text:t" inset="0,0,0,0">
            <w:txbxContent>
              <w:p w:rsidR="0090419F" w:rsidRDefault="00242F42">
                <w:pPr>
                  <w:pStyle w:val="a6"/>
                  <w:rPr>
                    <w:lang w:eastAsia="zh-CN"/>
                  </w:rPr>
                </w:pPr>
                <w:r>
                  <w:rPr>
                    <w:rFonts w:hint="eastAsia"/>
                    <w:lang w:eastAsia="zh-CN"/>
                  </w:rPr>
                  <w:fldChar w:fldCharType="begin"/>
                </w:r>
                <w:r w:rsidR="0090419F">
                  <w:rPr>
                    <w:rFonts w:hint="eastAsia"/>
                    <w:lang w:eastAsia="zh-CN"/>
                  </w:rPr>
                  <w:instrText xml:space="preserve"> PAGE  \* MERGEFORMAT </w:instrText>
                </w:r>
                <w:r>
                  <w:rPr>
                    <w:rFonts w:hint="eastAsia"/>
                    <w:lang w:eastAsia="zh-CN"/>
                  </w:rPr>
                  <w:fldChar w:fldCharType="separate"/>
                </w:r>
                <w:r w:rsidR="00A10E77">
                  <w:rPr>
                    <w:noProof/>
                    <w:lang w:eastAsia="zh-CN"/>
                  </w:rPr>
                  <w:t>- 22 -</w:t>
                </w:r>
                <w:r>
                  <w:rPr>
                    <w:rFonts w:hint="eastAsia"/>
                    <w:lang w:eastAsia="zh-CN"/>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19F" w:rsidRDefault="0090419F">
    <w:pPr>
      <w:pStyle w:val="a6"/>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BD1" w:rsidRDefault="00E07BD1" w:rsidP="0095117E">
      <w:pPr>
        <w:spacing w:after="0" w:line="240" w:lineRule="auto"/>
      </w:pPr>
      <w:r>
        <w:separator/>
      </w:r>
    </w:p>
  </w:footnote>
  <w:footnote w:type="continuationSeparator" w:id="0">
    <w:p w:rsidR="00E07BD1" w:rsidRDefault="00E07BD1" w:rsidP="009511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8B" w:rsidRDefault="006D4C8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19F" w:rsidRDefault="0090419F">
    <w:pPr>
      <w:pStyle w:val="a7"/>
      <w:pBdr>
        <w:bottom w:val="single" w:sz="4" w:space="1" w:color="auto"/>
      </w:pBdr>
      <w:jc w:val="both"/>
      <w:rPr>
        <w:sz w:val="24"/>
        <w:szCs w:val="24"/>
        <w:lang w:eastAsia="zh-CN"/>
      </w:rPr>
    </w:pPr>
    <w:r>
      <w:rPr>
        <w:rFonts w:ascii="仿宋" w:eastAsia="仿宋" w:hAnsi="仿宋" w:hint="eastAsia"/>
        <w:sz w:val="24"/>
        <w:szCs w:val="24"/>
        <w:lang w:eastAsia="zh-CN"/>
      </w:rPr>
      <w:t>恒泰期货股份有限公司规章制度</w:t>
    </w:r>
    <w:r>
      <w:rPr>
        <w:rFonts w:ascii="仿宋" w:eastAsia="仿宋" w:hAnsi="仿宋"/>
        <w:sz w:val="24"/>
        <w:szCs w:val="24"/>
        <w:lang w:eastAsia="zh-CN"/>
      </w:rPr>
      <w:tab/>
    </w:r>
    <w:r>
      <w:rPr>
        <w:rFonts w:ascii="仿宋" w:eastAsia="仿宋" w:hAnsi="仿宋" w:hint="eastAsia"/>
        <w:sz w:val="24"/>
        <w:szCs w:val="24"/>
        <w:lang w:eastAsia="zh-CN"/>
      </w:rPr>
      <w:t xml:space="preserve">                             开户管理细则</w:t>
    </w:r>
    <w:r>
      <w:rPr>
        <w:rFonts w:hint="eastAsia"/>
        <w:sz w:val="24"/>
        <w:szCs w:val="24"/>
        <w:lang w:eastAsia="zh-CN"/>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19F" w:rsidRDefault="0090419F">
    <w:pPr>
      <w:pStyle w:val="a7"/>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19F" w:rsidRDefault="0090419F">
    <w:pPr>
      <w:pStyle w:val="a7"/>
      <w:jc w:val="both"/>
      <w:rPr>
        <w:lang w:eastAsia="zh-CN"/>
      </w:rPr>
    </w:pPr>
    <w:r>
      <w:rPr>
        <w:rFonts w:ascii="仿宋" w:eastAsia="仿宋" w:hAnsi="仿宋" w:hint="eastAsia"/>
        <w:sz w:val="24"/>
        <w:szCs w:val="24"/>
        <w:lang w:eastAsia="zh-CN"/>
      </w:rPr>
      <w:t>恒泰期货股份有限公司规章制度</w:t>
    </w:r>
    <w:r>
      <w:rPr>
        <w:rFonts w:ascii="仿宋" w:eastAsia="仿宋" w:hAnsi="仿宋"/>
        <w:sz w:val="24"/>
        <w:szCs w:val="24"/>
        <w:lang w:eastAsia="zh-CN"/>
      </w:rPr>
      <w:tab/>
    </w:r>
    <w:r>
      <w:rPr>
        <w:rFonts w:ascii="仿宋" w:eastAsia="仿宋" w:hAnsi="仿宋" w:hint="eastAsia"/>
        <w:sz w:val="24"/>
        <w:szCs w:val="24"/>
        <w:lang w:eastAsia="zh-CN"/>
      </w:rPr>
      <w:t xml:space="preserve">                         </w:t>
    </w:r>
    <w:r w:rsidR="0009296E">
      <w:rPr>
        <w:rFonts w:ascii="仿宋" w:eastAsia="仿宋" w:hAnsi="仿宋" w:hint="eastAsia"/>
        <w:sz w:val="24"/>
        <w:szCs w:val="24"/>
        <w:lang w:eastAsia="zh-CN"/>
      </w:rPr>
      <w:t>IB</w:t>
    </w:r>
    <w:r>
      <w:rPr>
        <w:rFonts w:ascii="仿宋" w:eastAsia="仿宋" w:hAnsi="仿宋" w:hint="eastAsia"/>
        <w:sz w:val="24"/>
        <w:szCs w:val="24"/>
        <w:lang w:eastAsia="zh-CN"/>
      </w:rPr>
      <w:t xml:space="preserve">开户管理细则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94900"/>
    <w:multiLevelType w:val="multilevel"/>
    <w:tmpl w:val="1BF94900"/>
    <w:lvl w:ilvl="0">
      <w:start w:val="1"/>
      <w:numFmt w:val="japaneseCounting"/>
      <w:lvlText w:val="第%1条"/>
      <w:lvlJc w:val="left"/>
      <w:pPr>
        <w:ind w:left="764" w:hanging="480"/>
      </w:pPr>
      <w:rPr>
        <w:rFonts w:hint="eastAsia"/>
        <w:b/>
      </w:rPr>
    </w:lvl>
    <w:lvl w:ilvl="1">
      <w:start w:val="1"/>
      <w:numFmt w:val="lowerLetter"/>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lowerLetter"/>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lowerLetter"/>
      <w:lvlText w:val="%8)"/>
      <w:lvlJc w:val="left"/>
      <w:pPr>
        <w:ind w:left="4124" w:hanging="480"/>
      </w:pPr>
    </w:lvl>
    <w:lvl w:ilvl="8">
      <w:start w:val="1"/>
      <w:numFmt w:val="lowerRoman"/>
      <w:lvlText w:val="%9."/>
      <w:lvlJc w:val="right"/>
      <w:pPr>
        <w:ind w:left="4604" w:hanging="4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inqinqin">
    <w15:presenceInfo w15:providerId="WPS Office" w15:userId="4748153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noPunctuationKerning/>
  <w:characterSpacingControl w:val="compressPunctuation"/>
  <w:doNotValidateAgainstSchema/>
  <w:doNotDemarcateInvalidXml/>
  <w:hdrShapeDefaults>
    <o:shapedefaults v:ext="edit" spidmax="348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2B48"/>
    <w:rsid w:val="000067BB"/>
    <w:rsid w:val="00024F8C"/>
    <w:rsid w:val="000306E3"/>
    <w:rsid w:val="00031D26"/>
    <w:rsid w:val="0003749D"/>
    <w:rsid w:val="00040966"/>
    <w:rsid w:val="00043275"/>
    <w:rsid w:val="00044034"/>
    <w:rsid w:val="00045F11"/>
    <w:rsid w:val="00046345"/>
    <w:rsid w:val="0004728B"/>
    <w:rsid w:val="000520BA"/>
    <w:rsid w:val="00056F79"/>
    <w:rsid w:val="00063169"/>
    <w:rsid w:val="0007258B"/>
    <w:rsid w:val="0009296E"/>
    <w:rsid w:val="00093CB0"/>
    <w:rsid w:val="000A3E08"/>
    <w:rsid w:val="000A6298"/>
    <w:rsid w:val="000B2E56"/>
    <w:rsid w:val="000C0C9B"/>
    <w:rsid w:val="000C5C17"/>
    <w:rsid w:val="000D0090"/>
    <w:rsid w:val="000D3FAA"/>
    <w:rsid w:val="000D489F"/>
    <w:rsid w:val="000D48BE"/>
    <w:rsid w:val="000D5172"/>
    <w:rsid w:val="000F20D2"/>
    <w:rsid w:val="0012214C"/>
    <w:rsid w:val="00134AB2"/>
    <w:rsid w:val="00141A6B"/>
    <w:rsid w:val="0014463D"/>
    <w:rsid w:val="001470EF"/>
    <w:rsid w:val="00147BC8"/>
    <w:rsid w:val="00153FF7"/>
    <w:rsid w:val="001542ED"/>
    <w:rsid w:val="00156345"/>
    <w:rsid w:val="00160276"/>
    <w:rsid w:val="00163594"/>
    <w:rsid w:val="00171EF1"/>
    <w:rsid w:val="00172A27"/>
    <w:rsid w:val="00181ADC"/>
    <w:rsid w:val="001827C9"/>
    <w:rsid w:val="00182D9D"/>
    <w:rsid w:val="00187294"/>
    <w:rsid w:val="00195ECE"/>
    <w:rsid w:val="001A5E99"/>
    <w:rsid w:val="001B0D98"/>
    <w:rsid w:val="001B3481"/>
    <w:rsid w:val="001B4890"/>
    <w:rsid w:val="001C109A"/>
    <w:rsid w:val="001C3268"/>
    <w:rsid w:val="001C43C0"/>
    <w:rsid w:val="001D0357"/>
    <w:rsid w:val="001D6BD8"/>
    <w:rsid w:val="001E1BB8"/>
    <w:rsid w:val="001E24B0"/>
    <w:rsid w:val="001E7C54"/>
    <w:rsid w:val="00205128"/>
    <w:rsid w:val="00206097"/>
    <w:rsid w:val="00217E58"/>
    <w:rsid w:val="00222867"/>
    <w:rsid w:val="00230C37"/>
    <w:rsid w:val="00242F42"/>
    <w:rsid w:val="002455B1"/>
    <w:rsid w:val="00247C3A"/>
    <w:rsid w:val="00253998"/>
    <w:rsid w:val="00254877"/>
    <w:rsid w:val="00257ABA"/>
    <w:rsid w:val="00267AA1"/>
    <w:rsid w:val="002730B3"/>
    <w:rsid w:val="00276268"/>
    <w:rsid w:val="00277E7B"/>
    <w:rsid w:val="00281240"/>
    <w:rsid w:val="00283B1E"/>
    <w:rsid w:val="00285579"/>
    <w:rsid w:val="00287639"/>
    <w:rsid w:val="002879AD"/>
    <w:rsid w:val="0029217E"/>
    <w:rsid w:val="00293853"/>
    <w:rsid w:val="00294A44"/>
    <w:rsid w:val="0029615D"/>
    <w:rsid w:val="002963F8"/>
    <w:rsid w:val="00296D99"/>
    <w:rsid w:val="0029776C"/>
    <w:rsid w:val="002A7767"/>
    <w:rsid w:val="002B35DB"/>
    <w:rsid w:val="002B45A1"/>
    <w:rsid w:val="002C1D55"/>
    <w:rsid w:val="002E0834"/>
    <w:rsid w:val="002E09CA"/>
    <w:rsid w:val="002E326D"/>
    <w:rsid w:val="002F2DA7"/>
    <w:rsid w:val="002F4108"/>
    <w:rsid w:val="002F73A8"/>
    <w:rsid w:val="00300C77"/>
    <w:rsid w:val="00316E4E"/>
    <w:rsid w:val="00322DF5"/>
    <w:rsid w:val="00322FAB"/>
    <w:rsid w:val="003264E1"/>
    <w:rsid w:val="00330FB1"/>
    <w:rsid w:val="003333DA"/>
    <w:rsid w:val="003372C9"/>
    <w:rsid w:val="00340085"/>
    <w:rsid w:val="0034352C"/>
    <w:rsid w:val="00351EED"/>
    <w:rsid w:val="00352FEE"/>
    <w:rsid w:val="0037268C"/>
    <w:rsid w:val="00380922"/>
    <w:rsid w:val="00390D8A"/>
    <w:rsid w:val="003928A7"/>
    <w:rsid w:val="00393D25"/>
    <w:rsid w:val="003A642B"/>
    <w:rsid w:val="003C16D7"/>
    <w:rsid w:val="003C21E7"/>
    <w:rsid w:val="003C52CD"/>
    <w:rsid w:val="003C58B4"/>
    <w:rsid w:val="003D5765"/>
    <w:rsid w:val="003E45F3"/>
    <w:rsid w:val="003E4C92"/>
    <w:rsid w:val="00400AA3"/>
    <w:rsid w:val="00402F7E"/>
    <w:rsid w:val="0041138C"/>
    <w:rsid w:val="0041487D"/>
    <w:rsid w:val="00422369"/>
    <w:rsid w:val="0042350B"/>
    <w:rsid w:val="00444322"/>
    <w:rsid w:val="00462D09"/>
    <w:rsid w:val="00463F18"/>
    <w:rsid w:val="00470097"/>
    <w:rsid w:val="00471599"/>
    <w:rsid w:val="00474F42"/>
    <w:rsid w:val="00483F56"/>
    <w:rsid w:val="0048432C"/>
    <w:rsid w:val="004A11D9"/>
    <w:rsid w:val="004A5638"/>
    <w:rsid w:val="004C4EAF"/>
    <w:rsid w:val="004C5B5B"/>
    <w:rsid w:val="004D16E6"/>
    <w:rsid w:val="004D71DD"/>
    <w:rsid w:val="004E48DB"/>
    <w:rsid w:val="004E6813"/>
    <w:rsid w:val="004E7C29"/>
    <w:rsid w:val="004F015F"/>
    <w:rsid w:val="00504322"/>
    <w:rsid w:val="00505751"/>
    <w:rsid w:val="005425B9"/>
    <w:rsid w:val="00550BD1"/>
    <w:rsid w:val="005528CC"/>
    <w:rsid w:val="00553578"/>
    <w:rsid w:val="00561515"/>
    <w:rsid w:val="0056173A"/>
    <w:rsid w:val="00564183"/>
    <w:rsid w:val="0057141B"/>
    <w:rsid w:val="00572897"/>
    <w:rsid w:val="0058786A"/>
    <w:rsid w:val="0059008C"/>
    <w:rsid w:val="005A00E6"/>
    <w:rsid w:val="005A0E9F"/>
    <w:rsid w:val="005B261C"/>
    <w:rsid w:val="005B41B4"/>
    <w:rsid w:val="005B525D"/>
    <w:rsid w:val="005B79C0"/>
    <w:rsid w:val="005B7B08"/>
    <w:rsid w:val="005C06CE"/>
    <w:rsid w:val="005C07E1"/>
    <w:rsid w:val="005C57A1"/>
    <w:rsid w:val="005D738E"/>
    <w:rsid w:val="005E7A7E"/>
    <w:rsid w:val="005F53E0"/>
    <w:rsid w:val="00602EA0"/>
    <w:rsid w:val="006050C3"/>
    <w:rsid w:val="0060647C"/>
    <w:rsid w:val="00607FAB"/>
    <w:rsid w:val="0061479A"/>
    <w:rsid w:val="0061581B"/>
    <w:rsid w:val="00615821"/>
    <w:rsid w:val="00626260"/>
    <w:rsid w:val="00633C75"/>
    <w:rsid w:val="0064393C"/>
    <w:rsid w:val="00644578"/>
    <w:rsid w:val="00646F37"/>
    <w:rsid w:val="00653D84"/>
    <w:rsid w:val="00661120"/>
    <w:rsid w:val="0066117D"/>
    <w:rsid w:val="00662BB6"/>
    <w:rsid w:val="006630F1"/>
    <w:rsid w:val="0066573E"/>
    <w:rsid w:val="00665C43"/>
    <w:rsid w:val="0067415F"/>
    <w:rsid w:val="0068014A"/>
    <w:rsid w:val="006847AF"/>
    <w:rsid w:val="00686678"/>
    <w:rsid w:val="00691EDD"/>
    <w:rsid w:val="00696EAC"/>
    <w:rsid w:val="006A1955"/>
    <w:rsid w:val="006A6EC0"/>
    <w:rsid w:val="006A7B65"/>
    <w:rsid w:val="006B31DE"/>
    <w:rsid w:val="006C2470"/>
    <w:rsid w:val="006C471E"/>
    <w:rsid w:val="006D00B7"/>
    <w:rsid w:val="006D2029"/>
    <w:rsid w:val="006D423B"/>
    <w:rsid w:val="006D4C8B"/>
    <w:rsid w:val="006D4E15"/>
    <w:rsid w:val="006D5634"/>
    <w:rsid w:val="006E7AD4"/>
    <w:rsid w:val="006F71A0"/>
    <w:rsid w:val="00702F31"/>
    <w:rsid w:val="00705964"/>
    <w:rsid w:val="00706D5F"/>
    <w:rsid w:val="0071403B"/>
    <w:rsid w:val="00714F97"/>
    <w:rsid w:val="00720D21"/>
    <w:rsid w:val="007325D0"/>
    <w:rsid w:val="00736FE4"/>
    <w:rsid w:val="0073718A"/>
    <w:rsid w:val="007403B9"/>
    <w:rsid w:val="007403C5"/>
    <w:rsid w:val="00741216"/>
    <w:rsid w:val="0074285F"/>
    <w:rsid w:val="007453CA"/>
    <w:rsid w:val="007643FE"/>
    <w:rsid w:val="007736F9"/>
    <w:rsid w:val="0078501E"/>
    <w:rsid w:val="00791890"/>
    <w:rsid w:val="00791BE2"/>
    <w:rsid w:val="00791F3B"/>
    <w:rsid w:val="007A33F5"/>
    <w:rsid w:val="007A4807"/>
    <w:rsid w:val="007B2D8D"/>
    <w:rsid w:val="007C7102"/>
    <w:rsid w:val="007D29EE"/>
    <w:rsid w:val="007E264C"/>
    <w:rsid w:val="007F11D5"/>
    <w:rsid w:val="007F1F4F"/>
    <w:rsid w:val="007F315B"/>
    <w:rsid w:val="007F394F"/>
    <w:rsid w:val="00804E6A"/>
    <w:rsid w:val="00806E49"/>
    <w:rsid w:val="00811B38"/>
    <w:rsid w:val="00812B9C"/>
    <w:rsid w:val="00815845"/>
    <w:rsid w:val="00817646"/>
    <w:rsid w:val="008252A9"/>
    <w:rsid w:val="00827B41"/>
    <w:rsid w:val="00840E8B"/>
    <w:rsid w:val="00844EE5"/>
    <w:rsid w:val="00846146"/>
    <w:rsid w:val="0085310C"/>
    <w:rsid w:val="008544D3"/>
    <w:rsid w:val="00855E58"/>
    <w:rsid w:val="00860DD6"/>
    <w:rsid w:val="008656B0"/>
    <w:rsid w:val="00875E61"/>
    <w:rsid w:val="008829AF"/>
    <w:rsid w:val="00890BC5"/>
    <w:rsid w:val="00890E0D"/>
    <w:rsid w:val="008919E2"/>
    <w:rsid w:val="008A4A59"/>
    <w:rsid w:val="008A6937"/>
    <w:rsid w:val="008B3383"/>
    <w:rsid w:val="008B4352"/>
    <w:rsid w:val="008C10BB"/>
    <w:rsid w:val="008C6EC1"/>
    <w:rsid w:val="008D00F9"/>
    <w:rsid w:val="008D7ABE"/>
    <w:rsid w:val="008F4449"/>
    <w:rsid w:val="009001A8"/>
    <w:rsid w:val="00900B61"/>
    <w:rsid w:val="009032DE"/>
    <w:rsid w:val="0090419F"/>
    <w:rsid w:val="00906E0D"/>
    <w:rsid w:val="00913D91"/>
    <w:rsid w:val="0091554C"/>
    <w:rsid w:val="00926587"/>
    <w:rsid w:val="00932B17"/>
    <w:rsid w:val="00936C06"/>
    <w:rsid w:val="00937975"/>
    <w:rsid w:val="00942290"/>
    <w:rsid w:val="0095117E"/>
    <w:rsid w:val="00953EC8"/>
    <w:rsid w:val="0095565F"/>
    <w:rsid w:val="00955D21"/>
    <w:rsid w:val="00960C8D"/>
    <w:rsid w:val="009633C4"/>
    <w:rsid w:val="009805CE"/>
    <w:rsid w:val="00986D55"/>
    <w:rsid w:val="00991538"/>
    <w:rsid w:val="00991FBE"/>
    <w:rsid w:val="00994A9F"/>
    <w:rsid w:val="009959CF"/>
    <w:rsid w:val="009A0104"/>
    <w:rsid w:val="009A0DC1"/>
    <w:rsid w:val="009B36BE"/>
    <w:rsid w:val="009B4698"/>
    <w:rsid w:val="009C1027"/>
    <w:rsid w:val="009C4316"/>
    <w:rsid w:val="009E6D84"/>
    <w:rsid w:val="009F455A"/>
    <w:rsid w:val="00A03CED"/>
    <w:rsid w:val="00A10E77"/>
    <w:rsid w:val="00A11C0B"/>
    <w:rsid w:val="00A1723C"/>
    <w:rsid w:val="00A216AC"/>
    <w:rsid w:val="00A2276E"/>
    <w:rsid w:val="00A2326A"/>
    <w:rsid w:val="00A32949"/>
    <w:rsid w:val="00A34C7C"/>
    <w:rsid w:val="00A35B05"/>
    <w:rsid w:val="00A37584"/>
    <w:rsid w:val="00A41208"/>
    <w:rsid w:val="00A412A8"/>
    <w:rsid w:val="00A471B1"/>
    <w:rsid w:val="00A55D08"/>
    <w:rsid w:val="00A5627C"/>
    <w:rsid w:val="00A56B10"/>
    <w:rsid w:val="00A573ED"/>
    <w:rsid w:val="00A63C88"/>
    <w:rsid w:val="00A70193"/>
    <w:rsid w:val="00A739BB"/>
    <w:rsid w:val="00A7697B"/>
    <w:rsid w:val="00A76A83"/>
    <w:rsid w:val="00A80481"/>
    <w:rsid w:val="00A842FB"/>
    <w:rsid w:val="00A85105"/>
    <w:rsid w:val="00A91FFB"/>
    <w:rsid w:val="00A93EC6"/>
    <w:rsid w:val="00A952A0"/>
    <w:rsid w:val="00A96F97"/>
    <w:rsid w:val="00AA2CB8"/>
    <w:rsid w:val="00AA4AA3"/>
    <w:rsid w:val="00AA6B90"/>
    <w:rsid w:val="00AB0BA2"/>
    <w:rsid w:val="00AB12D7"/>
    <w:rsid w:val="00AC18EB"/>
    <w:rsid w:val="00AC5554"/>
    <w:rsid w:val="00AD41E8"/>
    <w:rsid w:val="00AD5C26"/>
    <w:rsid w:val="00AE2AA2"/>
    <w:rsid w:val="00AE3789"/>
    <w:rsid w:val="00AE438F"/>
    <w:rsid w:val="00AF4A1E"/>
    <w:rsid w:val="00B007D5"/>
    <w:rsid w:val="00B03F5F"/>
    <w:rsid w:val="00B04721"/>
    <w:rsid w:val="00B11617"/>
    <w:rsid w:val="00B126E8"/>
    <w:rsid w:val="00B146B6"/>
    <w:rsid w:val="00B175E7"/>
    <w:rsid w:val="00B27604"/>
    <w:rsid w:val="00B2762D"/>
    <w:rsid w:val="00B313B3"/>
    <w:rsid w:val="00B34378"/>
    <w:rsid w:val="00B34CCC"/>
    <w:rsid w:val="00B36F6F"/>
    <w:rsid w:val="00B427F7"/>
    <w:rsid w:val="00B448EA"/>
    <w:rsid w:val="00B64571"/>
    <w:rsid w:val="00B65D7C"/>
    <w:rsid w:val="00B667BF"/>
    <w:rsid w:val="00B73FF5"/>
    <w:rsid w:val="00B80E75"/>
    <w:rsid w:val="00B86F9B"/>
    <w:rsid w:val="00B91103"/>
    <w:rsid w:val="00B9242C"/>
    <w:rsid w:val="00B9643F"/>
    <w:rsid w:val="00BA19FD"/>
    <w:rsid w:val="00BA532F"/>
    <w:rsid w:val="00BA533B"/>
    <w:rsid w:val="00BB0AED"/>
    <w:rsid w:val="00BC4FA6"/>
    <w:rsid w:val="00BC5C13"/>
    <w:rsid w:val="00BD15DC"/>
    <w:rsid w:val="00BD1622"/>
    <w:rsid w:val="00BD24DC"/>
    <w:rsid w:val="00BE3F5A"/>
    <w:rsid w:val="00C03294"/>
    <w:rsid w:val="00C15B04"/>
    <w:rsid w:val="00C20B5B"/>
    <w:rsid w:val="00C25FA0"/>
    <w:rsid w:val="00C35FD8"/>
    <w:rsid w:val="00C407B2"/>
    <w:rsid w:val="00C4450C"/>
    <w:rsid w:val="00C47C04"/>
    <w:rsid w:val="00C52102"/>
    <w:rsid w:val="00C575E2"/>
    <w:rsid w:val="00C60907"/>
    <w:rsid w:val="00C6410B"/>
    <w:rsid w:val="00C6458E"/>
    <w:rsid w:val="00C668BE"/>
    <w:rsid w:val="00C70482"/>
    <w:rsid w:val="00C73CCC"/>
    <w:rsid w:val="00C75473"/>
    <w:rsid w:val="00C7549A"/>
    <w:rsid w:val="00C85566"/>
    <w:rsid w:val="00C87945"/>
    <w:rsid w:val="00C93581"/>
    <w:rsid w:val="00C940E9"/>
    <w:rsid w:val="00C97631"/>
    <w:rsid w:val="00CA3F14"/>
    <w:rsid w:val="00CA76F8"/>
    <w:rsid w:val="00CB150A"/>
    <w:rsid w:val="00CB27E7"/>
    <w:rsid w:val="00CB2D55"/>
    <w:rsid w:val="00CB3B6F"/>
    <w:rsid w:val="00CB6ECE"/>
    <w:rsid w:val="00CC6486"/>
    <w:rsid w:val="00CD2587"/>
    <w:rsid w:val="00CE43E8"/>
    <w:rsid w:val="00CE68DD"/>
    <w:rsid w:val="00CF0656"/>
    <w:rsid w:val="00CF1980"/>
    <w:rsid w:val="00CF655E"/>
    <w:rsid w:val="00D04C48"/>
    <w:rsid w:val="00D04E07"/>
    <w:rsid w:val="00D06945"/>
    <w:rsid w:val="00D118DD"/>
    <w:rsid w:val="00D21072"/>
    <w:rsid w:val="00D24F00"/>
    <w:rsid w:val="00D25833"/>
    <w:rsid w:val="00D26396"/>
    <w:rsid w:val="00D319AB"/>
    <w:rsid w:val="00D35B66"/>
    <w:rsid w:val="00D42C5C"/>
    <w:rsid w:val="00D44CA3"/>
    <w:rsid w:val="00D450E7"/>
    <w:rsid w:val="00D46D6B"/>
    <w:rsid w:val="00D6080C"/>
    <w:rsid w:val="00D66F8C"/>
    <w:rsid w:val="00D6786E"/>
    <w:rsid w:val="00D700A9"/>
    <w:rsid w:val="00D972A2"/>
    <w:rsid w:val="00DA1DBA"/>
    <w:rsid w:val="00DA3450"/>
    <w:rsid w:val="00DB7055"/>
    <w:rsid w:val="00DC0F06"/>
    <w:rsid w:val="00DC768F"/>
    <w:rsid w:val="00DD300D"/>
    <w:rsid w:val="00DD5597"/>
    <w:rsid w:val="00DD7645"/>
    <w:rsid w:val="00DD79DD"/>
    <w:rsid w:val="00DE3518"/>
    <w:rsid w:val="00DE5692"/>
    <w:rsid w:val="00E07BD1"/>
    <w:rsid w:val="00E11F42"/>
    <w:rsid w:val="00E12C35"/>
    <w:rsid w:val="00E14A3B"/>
    <w:rsid w:val="00E14F11"/>
    <w:rsid w:val="00E16A4E"/>
    <w:rsid w:val="00E21150"/>
    <w:rsid w:val="00E270B4"/>
    <w:rsid w:val="00E323B2"/>
    <w:rsid w:val="00E334E3"/>
    <w:rsid w:val="00E33BB0"/>
    <w:rsid w:val="00E33DBB"/>
    <w:rsid w:val="00E37743"/>
    <w:rsid w:val="00E4107E"/>
    <w:rsid w:val="00E43AAF"/>
    <w:rsid w:val="00E54255"/>
    <w:rsid w:val="00E5620A"/>
    <w:rsid w:val="00E603F3"/>
    <w:rsid w:val="00E62954"/>
    <w:rsid w:val="00E7253D"/>
    <w:rsid w:val="00E74E3F"/>
    <w:rsid w:val="00E76786"/>
    <w:rsid w:val="00E76F17"/>
    <w:rsid w:val="00E77A56"/>
    <w:rsid w:val="00E80CED"/>
    <w:rsid w:val="00E8118D"/>
    <w:rsid w:val="00E838AC"/>
    <w:rsid w:val="00EA0611"/>
    <w:rsid w:val="00EB1F3E"/>
    <w:rsid w:val="00EB45B0"/>
    <w:rsid w:val="00EB5038"/>
    <w:rsid w:val="00EB77CE"/>
    <w:rsid w:val="00EC5E96"/>
    <w:rsid w:val="00EC7873"/>
    <w:rsid w:val="00ED5DA2"/>
    <w:rsid w:val="00ED602C"/>
    <w:rsid w:val="00EE0FB3"/>
    <w:rsid w:val="00EE2522"/>
    <w:rsid w:val="00EE4A1A"/>
    <w:rsid w:val="00EE7246"/>
    <w:rsid w:val="00EE7D26"/>
    <w:rsid w:val="00F03B2C"/>
    <w:rsid w:val="00F04EC5"/>
    <w:rsid w:val="00F056E5"/>
    <w:rsid w:val="00F07E1A"/>
    <w:rsid w:val="00F10541"/>
    <w:rsid w:val="00F10B43"/>
    <w:rsid w:val="00F13BD0"/>
    <w:rsid w:val="00F22756"/>
    <w:rsid w:val="00F26CEB"/>
    <w:rsid w:val="00F270C4"/>
    <w:rsid w:val="00F30B18"/>
    <w:rsid w:val="00F35A26"/>
    <w:rsid w:val="00F40699"/>
    <w:rsid w:val="00F426D6"/>
    <w:rsid w:val="00F43DCC"/>
    <w:rsid w:val="00F535AF"/>
    <w:rsid w:val="00F632B7"/>
    <w:rsid w:val="00F66C3A"/>
    <w:rsid w:val="00F752F7"/>
    <w:rsid w:val="00F7765E"/>
    <w:rsid w:val="00F828C9"/>
    <w:rsid w:val="00F910C9"/>
    <w:rsid w:val="00F928E9"/>
    <w:rsid w:val="00F94213"/>
    <w:rsid w:val="00F974D8"/>
    <w:rsid w:val="00FA080A"/>
    <w:rsid w:val="00FB2C6F"/>
    <w:rsid w:val="00FB75D0"/>
    <w:rsid w:val="00FC6C7F"/>
    <w:rsid w:val="00FC6EFD"/>
    <w:rsid w:val="00FC711B"/>
    <w:rsid w:val="00FD2513"/>
    <w:rsid w:val="00FE3AF7"/>
    <w:rsid w:val="00FF0516"/>
    <w:rsid w:val="010A62CD"/>
    <w:rsid w:val="01E3357D"/>
    <w:rsid w:val="026F35D2"/>
    <w:rsid w:val="03FC6C6B"/>
    <w:rsid w:val="05D438D7"/>
    <w:rsid w:val="072C7139"/>
    <w:rsid w:val="08EC76F9"/>
    <w:rsid w:val="0977782A"/>
    <w:rsid w:val="0D386744"/>
    <w:rsid w:val="0F7A75F3"/>
    <w:rsid w:val="109F3F14"/>
    <w:rsid w:val="11553391"/>
    <w:rsid w:val="116C34FD"/>
    <w:rsid w:val="1295264D"/>
    <w:rsid w:val="13D12158"/>
    <w:rsid w:val="140D092B"/>
    <w:rsid w:val="166D1621"/>
    <w:rsid w:val="16B673D0"/>
    <w:rsid w:val="19CF1B5B"/>
    <w:rsid w:val="1A162A1D"/>
    <w:rsid w:val="1C650788"/>
    <w:rsid w:val="1C946222"/>
    <w:rsid w:val="1EDB3E21"/>
    <w:rsid w:val="1FB52B92"/>
    <w:rsid w:val="1FB854BB"/>
    <w:rsid w:val="231019E4"/>
    <w:rsid w:val="233F33EE"/>
    <w:rsid w:val="246A1DFA"/>
    <w:rsid w:val="254E1AC3"/>
    <w:rsid w:val="26DA4ED1"/>
    <w:rsid w:val="286A60BE"/>
    <w:rsid w:val="29F97C0F"/>
    <w:rsid w:val="2BE859B5"/>
    <w:rsid w:val="2C2F71BE"/>
    <w:rsid w:val="2D271F5A"/>
    <w:rsid w:val="2E611E59"/>
    <w:rsid w:val="2EEA1BE4"/>
    <w:rsid w:val="2F911EEB"/>
    <w:rsid w:val="301F77E4"/>
    <w:rsid w:val="31DC1C33"/>
    <w:rsid w:val="32B2340A"/>
    <w:rsid w:val="34446AAA"/>
    <w:rsid w:val="34A64926"/>
    <w:rsid w:val="39A21621"/>
    <w:rsid w:val="3A307A02"/>
    <w:rsid w:val="3C220CB5"/>
    <w:rsid w:val="401902E5"/>
    <w:rsid w:val="405D0060"/>
    <w:rsid w:val="406901F9"/>
    <w:rsid w:val="40D91485"/>
    <w:rsid w:val="42DA39A7"/>
    <w:rsid w:val="42E62E6C"/>
    <w:rsid w:val="4319103A"/>
    <w:rsid w:val="438C4B8F"/>
    <w:rsid w:val="443817D2"/>
    <w:rsid w:val="458D0AB0"/>
    <w:rsid w:val="45D509A4"/>
    <w:rsid w:val="45D81928"/>
    <w:rsid w:val="46175D00"/>
    <w:rsid w:val="466C27A6"/>
    <w:rsid w:val="46F0589D"/>
    <w:rsid w:val="47151330"/>
    <w:rsid w:val="471D6A2D"/>
    <w:rsid w:val="486A4094"/>
    <w:rsid w:val="493C1634"/>
    <w:rsid w:val="4D481424"/>
    <w:rsid w:val="4FD70160"/>
    <w:rsid w:val="50541ED8"/>
    <w:rsid w:val="50B11725"/>
    <w:rsid w:val="55E326E7"/>
    <w:rsid w:val="58FB1CF9"/>
    <w:rsid w:val="599D0921"/>
    <w:rsid w:val="59BD69E2"/>
    <w:rsid w:val="5A8F1E77"/>
    <w:rsid w:val="5B3C63F5"/>
    <w:rsid w:val="5B88481B"/>
    <w:rsid w:val="5E2C3245"/>
    <w:rsid w:val="5F262C30"/>
    <w:rsid w:val="66D30ECB"/>
    <w:rsid w:val="69194E26"/>
    <w:rsid w:val="6AD1292B"/>
    <w:rsid w:val="6D3D56FC"/>
    <w:rsid w:val="6E0606A7"/>
    <w:rsid w:val="6E890185"/>
    <w:rsid w:val="713D60E3"/>
    <w:rsid w:val="75165DDB"/>
    <w:rsid w:val="782E6D8C"/>
    <w:rsid w:val="7AE357A4"/>
    <w:rsid w:val="7C8A1725"/>
    <w:rsid w:val="7F2A26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unhideWhenUsed="0" w:qFormat="1"/>
    <w:lsdException w:name="header" w:semiHidden="0" w:qFormat="1"/>
    <w:lsdException w:name="footer" w:semiHidden="0" w:qFormat="1"/>
    <w:lsdException w:name="caption" w:uiPriority="35" w:qFormat="1"/>
    <w:lsdException w:name="annotation reference" w:semiHidden="0" w:unhideWhenUsed="0" w:qFormat="1"/>
    <w:lsdException w:name="page number" w:semiHidden="0" w:uiPriority="0" w:unhideWhenUsed="0" w:qFormat="1"/>
    <w:lsdException w:name="Title" w:semiHidden="0" w:uiPriority="0" w:unhideWhenUsed="0" w:qFormat="1"/>
    <w:lsdException w:name="Default Paragraph Font" w:semiHidden="0" w:uiPriority="1"/>
    <w:lsdException w:name="Subtitle" w:semiHidden="0" w:uiPriority="11" w:unhideWhenUsed="0" w:qFormat="1"/>
    <w:lsdException w:name="Body Text Indent 2"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annotation subject" w:semiHidden="0" w:unhideWhenUsed="0"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17E"/>
    <w:pPr>
      <w:spacing w:after="200" w:line="276" w:lineRule="auto"/>
    </w:pPr>
    <w:rPr>
      <w:rFonts w:ascii="仿宋_GB2312" w:eastAsia="仿宋_GB2312" w:hAnsi="仿宋_GB2312"/>
      <w:sz w:val="24"/>
      <w:szCs w:val="22"/>
      <w:lang w:eastAsia="en-US" w:bidi="en-US"/>
    </w:rPr>
  </w:style>
  <w:style w:type="paragraph" w:styleId="1">
    <w:name w:val="heading 1"/>
    <w:basedOn w:val="a"/>
    <w:next w:val="a"/>
    <w:link w:val="1Char"/>
    <w:uiPriority w:val="9"/>
    <w:qFormat/>
    <w:rsid w:val="009511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117E"/>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95117E"/>
    <w:rPr>
      <w:b/>
      <w:bCs/>
    </w:rPr>
  </w:style>
  <w:style w:type="paragraph" w:styleId="a4">
    <w:name w:val="annotation text"/>
    <w:basedOn w:val="a"/>
    <w:link w:val="Char0"/>
    <w:uiPriority w:val="99"/>
    <w:qFormat/>
    <w:rsid w:val="0095117E"/>
  </w:style>
  <w:style w:type="paragraph" w:styleId="7">
    <w:name w:val="toc 7"/>
    <w:basedOn w:val="a"/>
    <w:next w:val="a"/>
    <w:uiPriority w:val="39"/>
    <w:unhideWhenUsed/>
    <w:qFormat/>
    <w:rsid w:val="0095117E"/>
    <w:pPr>
      <w:spacing w:after="0"/>
      <w:ind w:left="1440"/>
    </w:pPr>
    <w:rPr>
      <w:rFonts w:ascii="Calibri" w:hAnsi="Calibri"/>
      <w:sz w:val="18"/>
      <w:szCs w:val="18"/>
    </w:rPr>
  </w:style>
  <w:style w:type="paragraph" w:styleId="5">
    <w:name w:val="toc 5"/>
    <w:basedOn w:val="a"/>
    <w:next w:val="a"/>
    <w:uiPriority w:val="39"/>
    <w:unhideWhenUsed/>
    <w:qFormat/>
    <w:rsid w:val="0095117E"/>
    <w:pPr>
      <w:spacing w:after="0"/>
      <w:ind w:left="960"/>
    </w:pPr>
    <w:rPr>
      <w:rFonts w:ascii="Calibri" w:hAnsi="Calibri"/>
      <w:sz w:val="18"/>
      <w:szCs w:val="18"/>
    </w:rPr>
  </w:style>
  <w:style w:type="paragraph" w:styleId="3">
    <w:name w:val="toc 3"/>
    <w:basedOn w:val="a"/>
    <w:next w:val="a"/>
    <w:uiPriority w:val="39"/>
    <w:unhideWhenUsed/>
    <w:qFormat/>
    <w:rsid w:val="0095117E"/>
    <w:pPr>
      <w:spacing w:after="0"/>
      <w:ind w:left="480"/>
    </w:pPr>
    <w:rPr>
      <w:rFonts w:ascii="Calibri" w:hAnsi="Calibri"/>
      <w:i/>
      <w:iCs/>
      <w:sz w:val="20"/>
      <w:szCs w:val="20"/>
    </w:rPr>
  </w:style>
  <w:style w:type="paragraph" w:styleId="8">
    <w:name w:val="toc 8"/>
    <w:basedOn w:val="a"/>
    <w:next w:val="a"/>
    <w:uiPriority w:val="39"/>
    <w:unhideWhenUsed/>
    <w:qFormat/>
    <w:rsid w:val="0095117E"/>
    <w:pPr>
      <w:spacing w:after="0"/>
      <w:ind w:left="1680"/>
    </w:pPr>
    <w:rPr>
      <w:rFonts w:ascii="Calibri" w:hAnsi="Calibri"/>
      <w:sz w:val="18"/>
      <w:szCs w:val="18"/>
    </w:rPr>
  </w:style>
  <w:style w:type="paragraph" w:styleId="20">
    <w:name w:val="Body Text Indent 2"/>
    <w:basedOn w:val="a"/>
    <w:qFormat/>
    <w:rsid w:val="0095117E"/>
    <w:pPr>
      <w:tabs>
        <w:tab w:val="left" w:pos="3686"/>
      </w:tabs>
      <w:snapToGrid w:val="0"/>
      <w:spacing w:line="360" w:lineRule="auto"/>
      <w:ind w:left="570" w:hanging="570"/>
    </w:pPr>
    <w:rPr>
      <w:rFonts w:ascii="楷体_GB2312" w:eastAsia="楷体_GB2312"/>
      <w:sz w:val="28"/>
      <w:szCs w:val="20"/>
    </w:rPr>
  </w:style>
  <w:style w:type="paragraph" w:styleId="a5">
    <w:name w:val="Balloon Text"/>
    <w:basedOn w:val="a"/>
    <w:link w:val="Char1"/>
    <w:uiPriority w:val="99"/>
    <w:qFormat/>
    <w:rsid w:val="0095117E"/>
    <w:pPr>
      <w:spacing w:after="0" w:line="240" w:lineRule="auto"/>
    </w:pPr>
    <w:rPr>
      <w:sz w:val="18"/>
      <w:szCs w:val="18"/>
    </w:rPr>
  </w:style>
  <w:style w:type="paragraph" w:styleId="a6">
    <w:name w:val="footer"/>
    <w:basedOn w:val="a"/>
    <w:link w:val="Char2"/>
    <w:uiPriority w:val="99"/>
    <w:unhideWhenUsed/>
    <w:qFormat/>
    <w:rsid w:val="0095117E"/>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rsid w:val="0095117E"/>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rsid w:val="0095117E"/>
    <w:pPr>
      <w:spacing w:before="120" w:after="120"/>
    </w:pPr>
    <w:rPr>
      <w:rFonts w:ascii="Calibri" w:hAnsi="Calibri"/>
      <w:b/>
      <w:bCs/>
      <w:caps/>
      <w:sz w:val="20"/>
      <w:szCs w:val="20"/>
    </w:rPr>
  </w:style>
  <w:style w:type="paragraph" w:styleId="4">
    <w:name w:val="toc 4"/>
    <w:basedOn w:val="a"/>
    <w:next w:val="a"/>
    <w:uiPriority w:val="39"/>
    <w:unhideWhenUsed/>
    <w:qFormat/>
    <w:rsid w:val="0095117E"/>
    <w:pPr>
      <w:spacing w:after="0"/>
      <w:ind w:left="720"/>
    </w:pPr>
    <w:rPr>
      <w:rFonts w:ascii="Calibri" w:hAnsi="Calibri"/>
      <w:sz w:val="18"/>
      <w:szCs w:val="18"/>
    </w:rPr>
  </w:style>
  <w:style w:type="paragraph" w:styleId="6">
    <w:name w:val="toc 6"/>
    <w:basedOn w:val="a"/>
    <w:next w:val="a"/>
    <w:uiPriority w:val="39"/>
    <w:unhideWhenUsed/>
    <w:qFormat/>
    <w:rsid w:val="0095117E"/>
    <w:pPr>
      <w:spacing w:after="0"/>
      <w:ind w:left="1200"/>
    </w:pPr>
    <w:rPr>
      <w:rFonts w:ascii="Calibri" w:hAnsi="Calibri"/>
      <w:sz w:val="18"/>
      <w:szCs w:val="18"/>
    </w:rPr>
  </w:style>
  <w:style w:type="paragraph" w:styleId="21">
    <w:name w:val="toc 2"/>
    <w:basedOn w:val="a"/>
    <w:next w:val="a"/>
    <w:uiPriority w:val="39"/>
    <w:unhideWhenUsed/>
    <w:qFormat/>
    <w:rsid w:val="0095117E"/>
    <w:pPr>
      <w:spacing w:after="0"/>
      <w:ind w:left="240"/>
    </w:pPr>
    <w:rPr>
      <w:rFonts w:ascii="Calibri" w:hAnsi="Calibri"/>
      <w:smallCaps/>
      <w:sz w:val="20"/>
      <w:szCs w:val="20"/>
    </w:rPr>
  </w:style>
  <w:style w:type="paragraph" w:styleId="9">
    <w:name w:val="toc 9"/>
    <w:basedOn w:val="a"/>
    <w:next w:val="a"/>
    <w:uiPriority w:val="39"/>
    <w:unhideWhenUsed/>
    <w:qFormat/>
    <w:rsid w:val="0095117E"/>
    <w:pPr>
      <w:spacing w:after="0"/>
      <w:ind w:left="1920"/>
    </w:pPr>
    <w:rPr>
      <w:rFonts w:ascii="Calibri" w:hAnsi="Calibri"/>
      <w:sz w:val="18"/>
      <w:szCs w:val="18"/>
    </w:rPr>
  </w:style>
  <w:style w:type="paragraph" w:styleId="a8">
    <w:name w:val="Normal (Web)"/>
    <w:basedOn w:val="a"/>
    <w:qFormat/>
    <w:rsid w:val="0095117E"/>
    <w:pPr>
      <w:spacing w:before="100" w:beforeAutospacing="1" w:after="100" w:afterAutospacing="1" w:line="300" w:lineRule="atLeast"/>
    </w:pPr>
    <w:rPr>
      <w:rFonts w:ascii="Arial Unicode MS" w:eastAsia="Arial Unicode MS" w:hAnsi="Arial Unicode MS" w:cs="Arial Unicode MS"/>
      <w:szCs w:val="24"/>
      <w:lang w:eastAsia="zh-CN" w:bidi="ar-SA"/>
    </w:rPr>
  </w:style>
  <w:style w:type="paragraph" w:styleId="a9">
    <w:name w:val="Title"/>
    <w:basedOn w:val="a"/>
    <w:next w:val="a"/>
    <w:qFormat/>
    <w:rsid w:val="0095117E"/>
    <w:pPr>
      <w:spacing w:before="240" w:after="60"/>
      <w:jc w:val="center"/>
      <w:outlineLvl w:val="0"/>
    </w:pPr>
    <w:rPr>
      <w:rFonts w:ascii="Cambria" w:eastAsia="宋体" w:hAnsi="Cambria"/>
      <w:b/>
      <w:bCs/>
      <w:kern w:val="2"/>
      <w:sz w:val="32"/>
      <w:szCs w:val="32"/>
      <w:lang w:eastAsia="zh-CN" w:bidi="ar-SA"/>
    </w:rPr>
  </w:style>
  <w:style w:type="character" w:styleId="aa">
    <w:name w:val="Strong"/>
    <w:basedOn w:val="a0"/>
    <w:qFormat/>
    <w:rsid w:val="0095117E"/>
    <w:rPr>
      <w:b/>
      <w:bCs/>
    </w:rPr>
  </w:style>
  <w:style w:type="character" w:styleId="ab">
    <w:name w:val="page number"/>
    <w:basedOn w:val="a0"/>
    <w:qFormat/>
    <w:rsid w:val="0095117E"/>
  </w:style>
  <w:style w:type="character" w:styleId="ac">
    <w:name w:val="Hyperlink"/>
    <w:basedOn w:val="a0"/>
    <w:uiPriority w:val="99"/>
    <w:qFormat/>
    <w:rsid w:val="0095117E"/>
    <w:rPr>
      <w:color w:val="0000FF"/>
      <w:u w:val="single"/>
    </w:rPr>
  </w:style>
  <w:style w:type="character" w:styleId="ad">
    <w:name w:val="annotation reference"/>
    <w:basedOn w:val="a0"/>
    <w:uiPriority w:val="99"/>
    <w:qFormat/>
    <w:rsid w:val="0095117E"/>
    <w:rPr>
      <w:sz w:val="21"/>
      <w:szCs w:val="21"/>
    </w:rPr>
  </w:style>
  <w:style w:type="character" w:customStyle="1" w:styleId="Char0">
    <w:name w:val="批注文字 Char"/>
    <w:basedOn w:val="a0"/>
    <w:link w:val="a4"/>
    <w:uiPriority w:val="99"/>
    <w:qFormat/>
    <w:rsid w:val="0095117E"/>
    <w:rPr>
      <w:rFonts w:ascii="仿宋_GB2312" w:eastAsia="仿宋_GB2312" w:hAnsi="仿宋_GB2312"/>
      <w:sz w:val="24"/>
      <w:szCs w:val="22"/>
      <w:lang w:eastAsia="en-US" w:bidi="en-US"/>
    </w:rPr>
  </w:style>
  <w:style w:type="character" w:customStyle="1" w:styleId="Char1">
    <w:name w:val="批注框文本 Char"/>
    <w:basedOn w:val="a0"/>
    <w:link w:val="a5"/>
    <w:uiPriority w:val="99"/>
    <w:qFormat/>
    <w:rsid w:val="0095117E"/>
    <w:rPr>
      <w:rFonts w:ascii="仿宋_GB2312" w:eastAsia="仿宋_GB2312" w:hAnsi="仿宋_GB2312"/>
      <w:sz w:val="18"/>
      <w:szCs w:val="18"/>
      <w:lang w:eastAsia="en-US" w:bidi="en-US"/>
    </w:rPr>
  </w:style>
  <w:style w:type="character" w:customStyle="1" w:styleId="Char2">
    <w:name w:val="页脚 Char"/>
    <w:basedOn w:val="a0"/>
    <w:link w:val="a6"/>
    <w:uiPriority w:val="99"/>
    <w:qFormat/>
    <w:rsid w:val="0095117E"/>
    <w:rPr>
      <w:rFonts w:ascii="仿宋_GB2312" w:eastAsia="仿宋_GB2312" w:hAnsi="仿宋_GB2312"/>
      <w:sz w:val="18"/>
      <w:szCs w:val="18"/>
      <w:lang w:eastAsia="en-US" w:bidi="en-US"/>
    </w:rPr>
  </w:style>
  <w:style w:type="character" w:customStyle="1" w:styleId="Char">
    <w:name w:val="批注主题 Char"/>
    <w:basedOn w:val="Char0"/>
    <w:link w:val="a3"/>
    <w:uiPriority w:val="99"/>
    <w:qFormat/>
    <w:rsid w:val="0095117E"/>
    <w:rPr>
      <w:rFonts w:ascii="仿宋_GB2312" w:eastAsia="仿宋_GB2312" w:hAnsi="仿宋_GB2312"/>
      <w:b/>
      <w:bCs/>
      <w:sz w:val="24"/>
      <w:szCs w:val="22"/>
      <w:lang w:eastAsia="en-US" w:bidi="en-US"/>
    </w:rPr>
  </w:style>
  <w:style w:type="paragraph" w:customStyle="1" w:styleId="p15">
    <w:name w:val="p15"/>
    <w:basedOn w:val="a"/>
    <w:qFormat/>
    <w:rsid w:val="0095117E"/>
    <w:pPr>
      <w:snapToGrid w:val="0"/>
      <w:spacing w:after="0" w:line="240" w:lineRule="auto"/>
    </w:pPr>
    <w:rPr>
      <w:rFonts w:ascii="华文中宋" w:eastAsia="华文中宋" w:hAnsi="华文中宋" w:cs="宋体"/>
      <w:color w:val="000000"/>
      <w:szCs w:val="24"/>
      <w:lang w:eastAsia="zh-CN" w:bidi="ar-SA"/>
    </w:rPr>
  </w:style>
  <w:style w:type="paragraph" w:customStyle="1" w:styleId="11">
    <w:name w:val="修订1"/>
    <w:qFormat/>
    <w:rsid w:val="0095117E"/>
    <w:rPr>
      <w:rFonts w:ascii="仿宋_GB2312" w:eastAsia="仿宋_GB2312" w:hAnsi="仿宋_GB2312"/>
      <w:sz w:val="24"/>
      <w:szCs w:val="22"/>
      <w:lang w:eastAsia="en-US" w:bidi="en-US"/>
    </w:rPr>
  </w:style>
  <w:style w:type="paragraph" w:customStyle="1" w:styleId="Default">
    <w:name w:val="Default"/>
    <w:qFormat/>
    <w:rsid w:val="0095117E"/>
    <w:pPr>
      <w:widowControl w:val="0"/>
      <w:autoSpaceDE w:val="0"/>
      <w:autoSpaceDN w:val="0"/>
      <w:adjustRightInd w:val="0"/>
    </w:pPr>
    <w:rPr>
      <w:rFonts w:ascii="华文中宋" w:eastAsia="华文中宋" w:hAnsi="Calibri" w:cs="华文中宋"/>
      <w:color w:val="000000"/>
      <w:sz w:val="24"/>
      <w:szCs w:val="24"/>
    </w:rPr>
  </w:style>
  <w:style w:type="paragraph" w:customStyle="1" w:styleId="p0">
    <w:name w:val="p0"/>
    <w:qFormat/>
    <w:rsid w:val="0095117E"/>
    <w:rPr>
      <w:szCs w:val="21"/>
    </w:rPr>
  </w:style>
  <w:style w:type="character" w:customStyle="1" w:styleId="2Char">
    <w:name w:val="标题 2 Char"/>
    <w:basedOn w:val="a0"/>
    <w:link w:val="2"/>
    <w:qFormat/>
    <w:rsid w:val="0095117E"/>
    <w:rPr>
      <w:rFonts w:ascii="Arial" w:eastAsia="黑体" w:hAnsi="Arial"/>
      <w:b/>
      <w:sz w:val="32"/>
      <w:szCs w:val="22"/>
      <w:lang w:eastAsia="en-US" w:bidi="en-US"/>
    </w:rPr>
  </w:style>
  <w:style w:type="character" w:customStyle="1" w:styleId="Char3">
    <w:name w:val="页眉 Char"/>
    <w:basedOn w:val="a0"/>
    <w:link w:val="a7"/>
    <w:uiPriority w:val="99"/>
    <w:qFormat/>
    <w:rsid w:val="0095117E"/>
    <w:rPr>
      <w:rFonts w:ascii="仿宋_GB2312" w:eastAsia="仿宋_GB2312" w:hAnsi="仿宋_GB2312"/>
      <w:sz w:val="18"/>
      <w:szCs w:val="18"/>
      <w:lang w:eastAsia="en-US" w:bidi="en-US"/>
    </w:rPr>
  </w:style>
  <w:style w:type="character" w:customStyle="1" w:styleId="1Char">
    <w:name w:val="标题 1 Char"/>
    <w:basedOn w:val="a0"/>
    <w:link w:val="1"/>
    <w:uiPriority w:val="9"/>
    <w:qFormat/>
    <w:rsid w:val="0095117E"/>
    <w:rPr>
      <w:rFonts w:ascii="仿宋_GB2312" w:eastAsia="仿宋_GB2312" w:hAnsi="仿宋_GB2312"/>
      <w:b/>
      <w:bCs/>
      <w:kern w:val="44"/>
      <w:sz w:val="44"/>
      <w:szCs w:val="44"/>
      <w:lang w:eastAsia="en-US" w:bidi="en-US"/>
    </w:rPr>
  </w:style>
  <w:style w:type="paragraph" w:customStyle="1" w:styleId="110">
    <w:name w:val="列出段落11"/>
    <w:basedOn w:val="a"/>
    <w:qFormat/>
    <w:rsid w:val="0095117E"/>
    <w:pPr>
      <w:widowControl w:val="0"/>
      <w:spacing w:after="0" w:line="240" w:lineRule="auto"/>
      <w:ind w:firstLineChars="200" w:firstLine="420"/>
      <w:jc w:val="both"/>
    </w:pPr>
    <w:rPr>
      <w:rFonts w:ascii="Calibri" w:eastAsia="宋体" w:hAnsi="Calibri"/>
      <w:kern w:val="2"/>
      <w:sz w:val="21"/>
      <w:szCs w:val="21"/>
      <w:lang w:eastAsia="zh-CN" w:bidi="ar-SA"/>
    </w:rPr>
  </w:style>
  <w:style w:type="paragraph" w:customStyle="1" w:styleId="12">
    <w:name w:val="列出段落1"/>
    <w:basedOn w:val="a"/>
    <w:uiPriority w:val="34"/>
    <w:qFormat/>
    <w:rsid w:val="0095117E"/>
    <w:pPr>
      <w:widowControl w:val="0"/>
      <w:spacing w:after="0" w:line="240" w:lineRule="auto"/>
      <w:ind w:firstLineChars="200" w:firstLine="420"/>
      <w:jc w:val="both"/>
    </w:pPr>
    <w:rPr>
      <w:rFonts w:ascii="Calibri" w:eastAsia="宋体" w:hAnsi="Calibri"/>
      <w:kern w:val="2"/>
      <w:sz w:val="21"/>
      <w:lang w:eastAsia="zh-CN" w:bidi="ar-SA"/>
    </w:rPr>
  </w:style>
  <w:style w:type="paragraph" w:customStyle="1" w:styleId="TOC1">
    <w:name w:val="TOC 标题1"/>
    <w:basedOn w:val="1"/>
    <w:next w:val="a"/>
    <w:uiPriority w:val="39"/>
    <w:unhideWhenUsed/>
    <w:qFormat/>
    <w:rsid w:val="0095117E"/>
    <w:pPr>
      <w:spacing w:before="480" w:after="0" w:line="276" w:lineRule="auto"/>
      <w:outlineLvl w:val="9"/>
    </w:pPr>
    <w:rPr>
      <w:rFonts w:ascii="Cambria" w:eastAsia="宋体" w:hAnsi="Cambria"/>
      <w:color w:val="365F91"/>
      <w:kern w:val="0"/>
      <w:sz w:val="28"/>
      <w:szCs w:val="28"/>
      <w:lang w:eastAsia="zh-CN" w:bidi="ar-SA"/>
    </w:rPr>
  </w:style>
  <w:style w:type="paragraph" w:customStyle="1" w:styleId="13">
    <w:name w:val="正文1"/>
    <w:qFormat/>
    <w:rsid w:val="0095117E"/>
    <w:pPr>
      <w:jc w:val="both"/>
    </w:pPr>
    <w:rPr>
      <w:rFonts w:ascii="Calibri" w:hAnsi="Calibri" w:cs="宋体"/>
      <w:kern w:val="2"/>
      <w:sz w:val="21"/>
      <w:szCs w:val="21"/>
    </w:rPr>
  </w:style>
  <w:style w:type="paragraph" w:customStyle="1" w:styleId="30">
    <w:name w:val="列出段落3"/>
    <w:basedOn w:val="a"/>
    <w:uiPriority w:val="99"/>
    <w:unhideWhenUsed/>
    <w:qFormat/>
    <w:rsid w:val="0095117E"/>
    <w:pPr>
      <w:ind w:firstLineChars="200" w:firstLine="420"/>
    </w:pPr>
  </w:style>
  <w:style w:type="paragraph" w:customStyle="1" w:styleId="40">
    <w:name w:val="列出段落4"/>
    <w:basedOn w:val="a"/>
    <w:uiPriority w:val="99"/>
    <w:unhideWhenUsed/>
    <w:qFormat/>
    <w:rsid w:val="0095117E"/>
    <w:pPr>
      <w:ind w:firstLineChars="200" w:firstLine="420"/>
    </w:pPr>
  </w:style>
  <w:style w:type="paragraph" w:customStyle="1" w:styleId="22">
    <w:name w:val="列出段落2"/>
    <w:basedOn w:val="a"/>
    <w:qFormat/>
    <w:rsid w:val="0095117E"/>
    <w:pPr>
      <w:widowControl w:val="0"/>
      <w:spacing w:before="100" w:beforeAutospacing="1" w:after="0" w:line="240" w:lineRule="auto"/>
      <w:ind w:firstLineChars="200" w:firstLine="420"/>
      <w:jc w:val="both"/>
    </w:pPr>
    <w:rPr>
      <w:rFonts w:ascii="Calibri" w:eastAsia="宋体" w:hAnsi="Calibri"/>
      <w:kern w:val="2"/>
      <w:sz w:val="21"/>
      <w:szCs w:val="21"/>
      <w:lang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654C30-2800-412C-897B-E4FB44C7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23</Pages>
  <Words>2263</Words>
  <Characters>12903</Characters>
  <Application>Microsoft Office Word</Application>
  <DocSecurity>0</DocSecurity>
  <Lines>107</Lines>
  <Paragraphs>30</Paragraphs>
  <ScaleCrop>false</ScaleCrop>
  <Company>Microsoft</Company>
  <LinksUpToDate>false</LinksUpToDate>
  <CharactersWithSpaces>15136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恒泰证券股份有限公司、恒泰期货经纪有限公司</dc:title>
  <dc:creator>ht001</dc:creator>
  <cp:lastModifiedBy>lenovo</cp:lastModifiedBy>
  <cp:revision>54</cp:revision>
  <cp:lastPrinted>2011-09-30T03:10:00Z</cp:lastPrinted>
  <dcterms:created xsi:type="dcterms:W3CDTF">2011-04-17T08:44:00Z</dcterms:created>
  <dcterms:modified xsi:type="dcterms:W3CDTF">2019-04-17T08:16:00Z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