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恒泰期货股份有限公司</w:t>
      </w:r>
    </w:p>
    <w:p>
      <w:pPr>
        <w:spacing w:beforeLines="50" w:afterLines="5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投资者适当性适配表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公司将产品或服务的风险等级由低到高划分为五级，分别为</w:t>
      </w:r>
      <w:r>
        <w:rPr>
          <w:rFonts w:ascii="仿宋" w:hAnsi="仿宋" w:eastAsia="仿宋" w:cs="仿宋"/>
          <w:sz w:val="24"/>
          <w:szCs w:val="24"/>
        </w:rPr>
        <w:t xml:space="preserve"> R1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R2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R3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R4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ascii="仿宋" w:hAnsi="仿宋" w:eastAsia="仿宋" w:cs="仿宋"/>
          <w:sz w:val="24"/>
          <w:szCs w:val="24"/>
        </w:rPr>
        <w:t>R5</w:t>
      </w:r>
      <w:r>
        <w:rPr>
          <w:rFonts w:hint="eastAsia" w:ascii="仿宋" w:hAnsi="仿宋" w:eastAsia="仿宋" w:cs="仿宋"/>
          <w:sz w:val="24"/>
          <w:szCs w:val="24"/>
        </w:rPr>
        <w:t>级，并根据投资者风险承受能力等级与产品或服务风险等级进行匹配，相关适配等级情况如下：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tbl>
      <w:tblPr>
        <w:tblStyle w:val="5"/>
        <w:tblW w:w="857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99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风险等级</w:t>
            </w: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ind w:firstLine="131" w:firstLineChars="62"/>
              <w:jc w:val="center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标的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适配投资者风险承受能力等级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64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R1</w:t>
            </w: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ind w:firstLine="640"/>
              <w:rPr>
                <w:rFonts w:ascii="仿宋" w:hAnsi="仿宋" w:eastAsia="仿宋" w:cs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C5、C4、C3、C2、C1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64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R2</w:t>
            </w: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ind w:firstLine="640"/>
              <w:rPr>
                <w:rFonts w:ascii="仿宋" w:hAnsi="仿宋" w:eastAsia="仿宋" w:cs="仿宋"/>
              </w:rPr>
            </w:pP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C5、C4、C3、C2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64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R3</w:t>
            </w:r>
          </w:p>
        </w:tc>
        <w:tc>
          <w:tcPr>
            <w:tcW w:w="38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包括但不限于</w:t>
            </w:r>
            <w:r>
              <w:rPr>
                <w:rFonts w:hint="eastAsia" w:ascii="仿宋" w:hAnsi="仿宋" w:eastAsia="仿宋" w:cs="仿宋"/>
                <w:b/>
                <w:bCs/>
              </w:rPr>
              <w:t>商品期货</w:t>
            </w:r>
            <w:r>
              <w:rPr>
                <w:rFonts w:hint="eastAsia" w:ascii="仿宋" w:hAnsi="仿宋" w:eastAsia="仿宋" w:cs="仿宋"/>
                <w:b/>
              </w:rPr>
              <w:t>（除原油期货以外）</w:t>
            </w:r>
            <w:r>
              <w:rPr>
                <w:rFonts w:hint="eastAsia" w:ascii="仿宋" w:hAnsi="仿宋" w:eastAsia="仿宋" w:cs="仿宋"/>
              </w:rPr>
              <w:t>及相关服务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C5、C4、C3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640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仿宋"/>
              </w:rPr>
              <w:t>R4</w:t>
            </w: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包括但不限于</w:t>
            </w:r>
            <w:r>
              <w:rPr>
                <w:rFonts w:hint="eastAsia" w:ascii="仿宋" w:hAnsi="仿宋" w:eastAsia="仿宋" w:cs="仿宋"/>
                <w:b/>
                <w:bCs/>
              </w:rPr>
              <w:t>金融期货、期权</w:t>
            </w:r>
            <w:r>
              <w:rPr>
                <w:rFonts w:hint="eastAsia" w:ascii="仿宋" w:hAnsi="仿宋" w:eastAsia="仿宋" w:cs="仿宋"/>
                <w:b/>
              </w:rPr>
              <w:t>、原油期货</w:t>
            </w:r>
            <w:r>
              <w:rPr>
                <w:rFonts w:hint="eastAsia" w:ascii="仿宋" w:hAnsi="仿宋" w:eastAsia="仿宋" w:cs="仿宋"/>
              </w:rPr>
              <w:t>、承担有限风险敞口的场外衍生产品及相关服务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C5、C4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640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仿宋"/>
              </w:rPr>
              <w:t>R5</w:t>
            </w:r>
          </w:p>
        </w:tc>
        <w:tc>
          <w:tcPr>
            <w:tcW w:w="3899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包括但不限于承担无限风险敞口的场外衍生产品及相关服务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C5</w:t>
            </w:r>
          </w:p>
        </w:tc>
      </w:tr>
    </w:tbl>
    <w:p>
      <w:pPr>
        <w:pStyle w:val="7"/>
        <w:spacing w:after="0" w:line="360" w:lineRule="auto"/>
        <w:ind w:firstLine="480"/>
        <w:rPr>
          <w:rFonts w:hint="eastAsia" w:ascii="仿宋" w:hAnsi="仿宋" w:eastAsia="仿宋" w:cs="仿宋"/>
          <w:kern w:val="2"/>
          <w:sz w:val="24"/>
          <w:szCs w:val="24"/>
        </w:rPr>
      </w:pPr>
    </w:p>
    <w:p>
      <w:pPr>
        <w:pStyle w:val="7"/>
        <w:spacing w:after="0" w:line="360" w:lineRule="auto"/>
        <w:ind w:firstLine="480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风险承受能力最低类别投资者只可购买或接受</w:t>
      </w:r>
      <w:r>
        <w:rPr>
          <w:rFonts w:ascii="仿宋" w:hAnsi="仿宋" w:eastAsia="仿宋" w:cs="仿宋"/>
          <w:kern w:val="2"/>
          <w:sz w:val="24"/>
          <w:szCs w:val="24"/>
        </w:rPr>
        <w:t xml:space="preserve"> R1 </w:t>
      </w:r>
      <w:r>
        <w:rPr>
          <w:rFonts w:hint="eastAsia" w:ascii="仿宋" w:hAnsi="仿宋" w:eastAsia="仿宋" w:cs="仿宋"/>
          <w:kern w:val="2"/>
          <w:sz w:val="24"/>
          <w:szCs w:val="24"/>
        </w:rPr>
        <w:t>风险等级的产品或服务，专业投资者可购买或接受所有风险等级的产品或服务。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9299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wZDJkYTYwODhiMzBkZmU2NGMzMzY5NDlmZmM1ZTcifQ=="/>
  </w:docVars>
  <w:rsids>
    <w:rsidRoot w:val="00C27243"/>
    <w:rsid w:val="001829EB"/>
    <w:rsid w:val="0023783E"/>
    <w:rsid w:val="002666B3"/>
    <w:rsid w:val="002B581A"/>
    <w:rsid w:val="00735CB6"/>
    <w:rsid w:val="00A439D9"/>
    <w:rsid w:val="00C27243"/>
    <w:rsid w:val="5AF6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2"/>
    <w:basedOn w:val="1"/>
    <w:uiPriority w:val="99"/>
    <w:pPr>
      <w:widowControl/>
      <w:spacing w:after="160" w:line="259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2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0</TotalTime>
  <ScaleCrop>false</ScaleCrop>
  <LinksUpToDate>false</LinksUpToDate>
  <CharactersWithSpaces>349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2019-03-15T04:59:00Z</dcterms:created>
  <dc:creator>乔建晨</dc:creator>
  <cp:lastModifiedBy>曹田田</cp:lastModifiedBy>
  <cp:lastPrinted>2019-03-15T05:13:00Z</cp:lastPrinted>
  <dcterms:modified xsi:type="dcterms:W3CDTF">2023-10-22T02:08:54Z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4ACC343B352C42C2A96AEBDD831010ED_12</vt:lpwstr>
  </property>
</Properties>
</file>