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FED34">
      <w:pPr>
        <w:spacing w:line="275" w:lineRule="auto"/>
        <w:rPr>
          <w:rFonts w:ascii="Arial"/>
          <w:sz w:val="21"/>
        </w:rPr>
      </w:pPr>
    </w:p>
    <w:p w14:paraId="668C2180">
      <w:pPr>
        <w:spacing w:line="275" w:lineRule="auto"/>
        <w:rPr>
          <w:rFonts w:ascii="Arial"/>
          <w:sz w:val="21"/>
        </w:rPr>
      </w:pPr>
    </w:p>
    <w:p w14:paraId="3C39F6AC">
      <w:pPr>
        <w:spacing w:line="275" w:lineRule="auto"/>
        <w:rPr>
          <w:rFonts w:ascii="Arial"/>
          <w:sz w:val="21"/>
        </w:rPr>
      </w:pPr>
    </w:p>
    <w:p w14:paraId="2F4C7C61">
      <w:pPr>
        <w:spacing w:before="198" w:line="469" w:lineRule="exact"/>
        <w:ind w:left="811"/>
        <w:rPr>
          <w:rFonts w:ascii="微软雅黑" w:hAnsi="微软雅黑" w:eastAsia="微软雅黑" w:cs="微软雅黑"/>
          <w:sz w:val="46"/>
          <w:szCs w:val="46"/>
        </w:rPr>
      </w:pPr>
      <w:bookmarkStart w:id="0" w:name="_GoBack"/>
      <w:r>
        <w:rPr>
          <w:rFonts w:ascii="微软雅黑" w:hAnsi="微软雅黑" w:eastAsia="微软雅黑" w:cs="微软雅黑"/>
          <w:spacing w:val="-20"/>
          <w:w w:val="96"/>
          <w:position w:val="-2"/>
          <w:sz w:val="46"/>
          <w:szCs w:val="46"/>
        </w:rPr>
        <w:t>证券公司为期货公司提供中间介绍业务</w:t>
      </w:r>
    </w:p>
    <w:p w14:paraId="31ACAE35">
      <w:pPr>
        <w:spacing w:before="90" w:line="469" w:lineRule="exact"/>
        <w:ind w:left="3533"/>
        <w:rPr>
          <w:rFonts w:ascii="微软雅黑" w:hAnsi="微软雅黑" w:eastAsia="微软雅黑" w:cs="微软雅黑"/>
          <w:sz w:val="46"/>
          <w:szCs w:val="46"/>
        </w:rPr>
      </w:pPr>
      <w:r>
        <w:rPr>
          <w:rFonts w:ascii="微软雅黑" w:hAnsi="微软雅黑" w:eastAsia="微软雅黑" w:cs="微软雅黑"/>
          <w:spacing w:val="-11"/>
          <w:w w:val="95"/>
          <w:position w:val="-2"/>
          <w:sz w:val="46"/>
          <w:szCs w:val="46"/>
        </w:rPr>
        <w:t>试行办法</w:t>
      </w:r>
    </w:p>
    <w:bookmarkEnd w:id="0"/>
    <w:p w14:paraId="6CD60590">
      <w:pPr>
        <w:spacing w:line="325" w:lineRule="auto"/>
        <w:rPr>
          <w:rFonts w:ascii="Arial"/>
          <w:sz w:val="21"/>
        </w:rPr>
      </w:pPr>
    </w:p>
    <w:p w14:paraId="2A8E8F98">
      <w:pPr>
        <w:spacing w:line="326" w:lineRule="auto"/>
        <w:rPr>
          <w:rFonts w:ascii="Arial"/>
          <w:sz w:val="21"/>
        </w:rPr>
      </w:pPr>
    </w:p>
    <w:p w14:paraId="6E449BE9">
      <w:pPr>
        <w:spacing w:before="98" w:line="239" w:lineRule="auto"/>
        <w:ind w:left="348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8"/>
          <w:sz w:val="30"/>
          <w:szCs w:val="30"/>
        </w:rPr>
        <w:t>第一章</w:t>
      </w:r>
      <w:r>
        <w:rPr>
          <w:rFonts w:ascii="黑体" w:hAnsi="黑体" w:eastAsia="黑体" w:cs="黑体"/>
          <w:spacing w:val="11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8"/>
          <w:sz w:val="30"/>
          <w:szCs w:val="30"/>
        </w:rPr>
        <w:t>总则</w:t>
      </w:r>
    </w:p>
    <w:p w14:paraId="6B51C6F5">
      <w:pPr>
        <w:spacing w:line="316" w:lineRule="auto"/>
        <w:rPr>
          <w:rFonts w:ascii="Arial"/>
          <w:sz w:val="21"/>
        </w:rPr>
      </w:pPr>
    </w:p>
    <w:p w14:paraId="6FB3169F">
      <w:pPr>
        <w:spacing w:line="316" w:lineRule="auto"/>
        <w:rPr>
          <w:rFonts w:ascii="Arial"/>
          <w:sz w:val="21"/>
        </w:rPr>
      </w:pPr>
    </w:p>
    <w:p w14:paraId="74E91E97">
      <w:pPr>
        <w:pStyle w:val="2"/>
        <w:spacing w:before="98" w:line="310" w:lineRule="auto"/>
        <w:ind w:left="39" w:firstLine="583"/>
      </w:pPr>
      <w:r>
        <w:rPr>
          <w:rFonts w:ascii="黑体" w:hAnsi="黑体" w:eastAsia="黑体" w:cs="黑体"/>
          <w:spacing w:val="9"/>
        </w:rPr>
        <w:t xml:space="preserve">第一条  </w:t>
      </w:r>
      <w:r>
        <w:rPr>
          <w:spacing w:val="9"/>
        </w:rPr>
        <w:t>为</w:t>
      </w:r>
      <w:r>
        <w:rPr>
          <w:spacing w:val="-76"/>
        </w:rPr>
        <w:t xml:space="preserve"> </w:t>
      </w:r>
      <w:r>
        <w:rPr>
          <w:spacing w:val="9"/>
        </w:rPr>
        <w:t>了规范证券公司为期货公司提供中间介绍</w:t>
      </w:r>
      <w:r>
        <w:rPr>
          <w:spacing w:val="8"/>
        </w:rPr>
        <w:t>业务活</w:t>
      </w:r>
      <w:r>
        <w:t xml:space="preserve"> 动，防范和隔离风险，促进期货市场积极稳妥发展，根据《中</w:t>
      </w:r>
      <w:r>
        <w:rPr>
          <w:spacing w:val="-1"/>
        </w:rPr>
        <w:t>华人</w:t>
      </w:r>
      <w:r>
        <w:t xml:space="preserve"> </w:t>
      </w:r>
      <w:r>
        <w:rPr>
          <w:spacing w:val="-2"/>
        </w:rPr>
        <w:t>民共和国期货和衍生品法》，制定本办法。</w:t>
      </w:r>
    </w:p>
    <w:p w14:paraId="169BFCE7">
      <w:pPr>
        <w:pStyle w:val="2"/>
        <w:spacing w:before="167" w:line="310" w:lineRule="auto"/>
        <w:ind w:firstLine="623"/>
      </w:pPr>
      <w:r>
        <w:rPr>
          <w:rFonts w:ascii="黑体" w:hAnsi="黑体" w:eastAsia="黑体" w:cs="黑体"/>
          <w:spacing w:val="11"/>
        </w:rPr>
        <w:t xml:space="preserve">第二条  </w:t>
      </w:r>
      <w:r>
        <w:rPr>
          <w:spacing w:val="11"/>
        </w:rPr>
        <w:t>本办法所称证券公司为期货公司提供中间介绍业务</w:t>
      </w:r>
      <w:r>
        <w:rPr>
          <w:spacing w:val="17"/>
        </w:rPr>
        <w:t xml:space="preserve"> </w:t>
      </w:r>
      <w:r>
        <w:rPr>
          <w:spacing w:val="-3"/>
        </w:rPr>
        <w:t>（</w:t>
      </w:r>
      <w:r>
        <w:rPr>
          <w:spacing w:val="-60"/>
        </w:rPr>
        <w:t xml:space="preserve"> </w:t>
      </w:r>
      <w:r>
        <w:rPr>
          <w:spacing w:val="-3"/>
        </w:rPr>
        <w:t>以下简称介绍业务</w:t>
      </w:r>
      <w:r>
        <w:rPr>
          <w:spacing w:val="14"/>
        </w:rPr>
        <w:t>），</w:t>
      </w:r>
      <w:r>
        <w:rPr>
          <w:spacing w:val="-3"/>
        </w:rPr>
        <w:t>是指证券公司接受期货公司委托，为期货</w:t>
      </w:r>
      <w:r>
        <w:t xml:space="preserve"> 公司介绍客户参与期货交易并提供其他相关服务的业务活动。</w:t>
      </w:r>
    </w:p>
    <w:p w14:paraId="37786897">
      <w:pPr>
        <w:pStyle w:val="2"/>
        <w:spacing w:before="169" w:line="311" w:lineRule="auto"/>
        <w:ind w:left="25" w:firstLine="597"/>
      </w:pPr>
      <w:r>
        <w:rPr>
          <w:rFonts w:ascii="黑体" w:hAnsi="黑体" w:eastAsia="黑体" w:cs="黑体"/>
        </w:rPr>
        <w:t xml:space="preserve">第三条  </w:t>
      </w:r>
      <w:r>
        <w:t>证券公司从事介绍业务，应当依照本办法的规定取得</w:t>
      </w:r>
      <w:r>
        <w:rPr>
          <w:spacing w:val="14"/>
        </w:rPr>
        <w:t xml:space="preserve"> </w:t>
      </w:r>
      <w:r>
        <w:t>介绍业务资格，审慎经营，并对通过其营业部开展的介绍业务实行</w:t>
      </w:r>
      <w:r>
        <w:rPr>
          <w:spacing w:val="12"/>
        </w:rPr>
        <w:t xml:space="preserve"> </w:t>
      </w:r>
      <w:r>
        <w:rPr>
          <w:spacing w:val="-4"/>
        </w:rPr>
        <w:t>统一管理。</w:t>
      </w:r>
    </w:p>
    <w:p w14:paraId="738B2303">
      <w:pPr>
        <w:pStyle w:val="2"/>
        <w:spacing w:before="160" w:line="294" w:lineRule="auto"/>
        <w:ind w:left="27" w:firstLine="595"/>
      </w:pPr>
      <w:r>
        <w:rPr>
          <w:rFonts w:ascii="黑体" w:hAnsi="黑体" w:eastAsia="黑体" w:cs="黑体"/>
          <w:spacing w:val="-3"/>
        </w:rPr>
        <w:t xml:space="preserve">第四条  </w:t>
      </w:r>
      <w:r>
        <w:rPr>
          <w:spacing w:val="-3"/>
        </w:rPr>
        <w:t>中国证券监督管理委员会（</w:t>
      </w:r>
      <w:r>
        <w:rPr>
          <w:spacing w:val="-52"/>
        </w:rPr>
        <w:t xml:space="preserve"> </w:t>
      </w:r>
      <w:r>
        <w:rPr>
          <w:spacing w:val="-3"/>
        </w:rPr>
        <w:t>以下简称中国证监会）及</w:t>
      </w:r>
      <w:r>
        <w:t xml:space="preserve"> </w:t>
      </w:r>
      <w:r>
        <w:rPr>
          <w:spacing w:val="-1"/>
        </w:rPr>
        <w:t>其派出机构依法对证券公司的介绍业务活动实行监督管理。</w:t>
      </w:r>
    </w:p>
    <w:p w14:paraId="3E628A03">
      <w:pPr>
        <w:pStyle w:val="2"/>
        <w:spacing w:before="170" w:line="239" w:lineRule="auto"/>
        <w:ind w:left="630"/>
      </w:pPr>
      <w:r>
        <w:rPr>
          <w:spacing w:val="-1"/>
        </w:rPr>
        <w:t>相关自律性组织依法对介绍业务活动实行自律管理。</w:t>
      </w:r>
    </w:p>
    <w:p w14:paraId="16AE7BDF">
      <w:pPr>
        <w:spacing w:line="312" w:lineRule="auto"/>
        <w:rPr>
          <w:rFonts w:ascii="Arial"/>
          <w:sz w:val="21"/>
        </w:rPr>
      </w:pPr>
    </w:p>
    <w:p w14:paraId="77A08466">
      <w:pPr>
        <w:spacing w:line="312" w:lineRule="auto"/>
        <w:rPr>
          <w:rFonts w:ascii="Arial"/>
          <w:sz w:val="21"/>
        </w:rPr>
      </w:pPr>
    </w:p>
    <w:p w14:paraId="498FABAB">
      <w:pPr>
        <w:spacing w:before="98" w:line="239" w:lineRule="auto"/>
        <w:ind w:left="243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第二章  资格条件与业务范围</w:t>
      </w:r>
    </w:p>
    <w:p w14:paraId="07E0467D">
      <w:pPr>
        <w:spacing w:line="315" w:lineRule="auto"/>
        <w:rPr>
          <w:rFonts w:ascii="Arial"/>
          <w:sz w:val="21"/>
        </w:rPr>
      </w:pPr>
    </w:p>
    <w:p w14:paraId="14EB3FB4">
      <w:pPr>
        <w:spacing w:line="316" w:lineRule="auto"/>
        <w:rPr>
          <w:rFonts w:ascii="Arial"/>
          <w:sz w:val="21"/>
        </w:rPr>
      </w:pPr>
    </w:p>
    <w:p w14:paraId="477DAAE7">
      <w:pPr>
        <w:pStyle w:val="2"/>
        <w:spacing w:before="98" w:line="241" w:lineRule="auto"/>
        <w:ind w:left="623"/>
      </w:pPr>
      <w:r>
        <w:rPr>
          <w:rFonts w:ascii="黑体" w:hAnsi="黑体" w:eastAsia="黑体" w:cs="黑体"/>
          <w:spacing w:val="-1"/>
        </w:rPr>
        <w:t xml:space="preserve">第五条  </w:t>
      </w:r>
      <w:r>
        <w:rPr>
          <w:spacing w:val="-1"/>
        </w:rPr>
        <w:t>证券公司申请介绍业务资格，应当符合下列条件：</w:t>
      </w:r>
    </w:p>
    <w:p w14:paraId="35272052">
      <w:pPr>
        <w:spacing w:line="241" w:lineRule="auto"/>
        <w:sectPr>
          <w:footerReference r:id="rId5" w:type="default"/>
          <w:pgSz w:w="11906" w:h="16839"/>
          <w:pgMar w:top="1431" w:right="1588" w:bottom="1157" w:left="1578" w:header="0" w:footer="992" w:gutter="0"/>
          <w:cols w:space="720" w:num="1"/>
        </w:sectPr>
      </w:pPr>
    </w:p>
    <w:p w14:paraId="2F40DC9B">
      <w:pPr>
        <w:spacing w:line="248" w:lineRule="auto"/>
        <w:rPr>
          <w:rFonts w:ascii="Arial"/>
          <w:sz w:val="21"/>
        </w:rPr>
      </w:pPr>
    </w:p>
    <w:p w14:paraId="2CD2026D">
      <w:pPr>
        <w:spacing w:line="249" w:lineRule="auto"/>
        <w:rPr>
          <w:rFonts w:ascii="Arial"/>
          <w:sz w:val="21"/>
        </w:rPr>
      </w:pPr>
    </w:p>
    <w:p w14:paraId="21A13783">
      <w:pPr>
        <w:spacing w:line="249" w:lineRule="auto"/>
        <w:rPr>
          <w:rFonts w:ascii="Arial"/>
          <w:sz w:val="21"/>
        </w:rPr>
      </w:pPr>
    </w:p>
    <w:p w14:paraId="10488180">
      <w:pPr>
        <w:pStyle w:val="2"/>
        <w:spacing w:before="98" w:line="239" w:lineRule="auto"/>
        <w:ind w:left="579"/>
      </w:pPr>
      <w:r>
        <w:rPr>
          <w:spacing w:val="-3"/>
        </w:rPr>
        <w:t>（</w:t>
      </w:r>
      <w:r>
        <w:rPr>
          <w:spacing w:val="-78"/>
        </w:rPr>
        <w:t xml:space="preserve"> </w:t>
      </w:r>
      <w:r>
        <w:rPr>
          <w:spacing w:val="-3"/>
        </w:rPr>
        <w:t>一）申请日前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6 </w:t>
      </w:r>
      <w:r>
        <w:rPr>
          <w:spacing w:val="-3"/>
        </w:rPr>
        <w:t>个月各项风险控制指标符合规定标准；</w:t>
      </w:r>
    </w:p>
    <w:p w14:paraId="12981F2E">
      <w:pPr>
        <w:pStyle w:val="2"/>
        <w:spacing w:before="173" w:line="238" w:lineRule="auto"/>
        <w:ind w:left="579"/>
      </w:pPr>
      <w:r>
        <w:rPr>
          <w:spacing w:val="-3"/>
        </w:rPr>
        <w:t>（</w:t>
      </w:r>
      <w:r>
        <w:rPr>
          <w:spacing w:val="-69"/>
        </w:rPr>
        <w:t xml:space="preserve"> </w:t>
      </w:r>
      <w:r>
        <w:rPr>
          <w:spacing w:val="-3"/>
        </w:rPr>
        <w:t>二）已按规定建立客户交易结算资金第三方存管制度；</w:t>
      </w:r>
    </w:p>
    <w:p w14:paraId="1B4F2270">
      <w:pPr>
        <w:pStyle w:val="2"/>
        <w:spacing w:before="170" w:line="319" w:lineRule="auto"/>
        <w:ind w:right="91" w:firstLine="579"/>
      </w:pPr>
      <w:r>
        <w:rPr>
          <w:spacing w:val="-2"/>
        </w:rPr>
        <w:t>（</w:t>
      </w:r>
      <w:r>
        <w:rPr>
          <w:spacing w:val="-59"/>
        </w:rPr>
        <w:t xml:space="preserve"> </w:t>
      </w:r>
      <w:r>
        <w:rPr>
          <w:spacing w:val="-2"/>
        </w:rPr>
        <w:t>三）全资拥有或者控股一家期货公司，或者与一家期货公司</w:t>
      </w:r>
      <w:r>
        <w:t xml:space="preserve"> 被同一机构控制，且该期货公司具有实行会员分级结算制度期货交</w:t>
      </w:r>
      <w:r>
        <w:rPr>
          <w:spacing w:val="17"/>
        </w:rPr>
        <w:t xml:space="preserve"> </w:t>
      </w:r>
      <w:r>
        <w:t>易所的会员资格、申请日前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2 </w:t>
      </w:r>
      <w:r>
        <w:t xml:space="preserve">个月的风险监管指标持续符合规定的 </w:t>
      </w:r>
      <w:r>
        <w:rPr>
          <w:spacing w:val="-5"/>
        </w:rPr>
        <w:t>标准；</w:t>
      </w:r>
    </w:p>
    <w:p w14:paraId="1B950E46">
      <w:pPr>
        <w:pStyle w:val="2"/>
        <w:spacing w:before="166" w:line="293" w:lineRule="auto"/>
        <w:ind w:left="12" w:right="88" w:firstLine="566"/>
      </w:pPr>
      <w:r>
        <w:rPr>
          <w:spacing w:val="-4"/>
        </w:rPr>
        <w:t>（</w:t>
      </w:r>
      <w:r>
        <w:rPr>
          <w:spacing w:val="-40"/>
        </w:rPr>
        <w:t xml:space="preserve"> </w:t>
      </w:r>
      <w:r>
        <w:rPr>
          <w:spacing w:val="-4"/>
        </w:rPr>
        <w:t>四）配备必要的业务人员，公司总部至少有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4"/>
        </w:rPr>
        <w:t>名、拟开展介</w:t>
      </w:r>
      <w:r>
        <w:t xml:space="preserve"> </w:t>
      </w:r>
      <w:r>
        <w:rPr>
          <w:spacing w:val="-2"/>
        </w:rPr>
        <w:t>绍业务的营业部至少有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2"/>
        </w:rPr>
        <w:t>名符合期货从业人员条件的业务人员；</w:t>
      </w:r>
    </w:p>
    <w:p w14:paraId="7866B0C8">
      <w:pPr>
        <w:pStyle w:val="2"/>
        <w:spacing w:before="171" w:line="291" w:lineRule="auto"/>
        <w:ind w:left="10" w:right="91" w:firstLine="568"/>
      </w:pPr>
      <w:r>
        <w:rPr>
          <w:spacing w:val="-1"/>
        </w:rPr>
        <w:t>（</w:t>
      </w:r>
      <w:r>
        <w:rPr>
          <w:spacing w:val="-84"/>
        </w:rPr>
        <w:t xml:space="preserve"> </w:t>
      </w:r>
      <w:r>
        <w:rPr>
          <w:spacing w:val="-1"/>
        </w:rPr>
        <w:t>五）已按规定建立健全与介绍业务相关的业务规则、内</w:t>
      </w:r>
      <w:r>
        <w:rPr>
          <w:spacing w:val="-2"/>
        </w:rPr>
        <w:t>部控</w:t>
      </w:r>
      <w:r>
        <w:t xml:space="preserve"> </w:t>
      </w:r>
      <w:r>
        <w:rPr>
          <w:spacing w:val="-2"/>
        </w:rPr>
        <w:t>制、风险隔离及合规检查等制度；</w:t>
      </w:r>
    </w:p>
    <w:p w14:paraId="6EE01891">
      <w:pPr>
        <w:pStyle w:val="2"/>
        <w:spacing w:before="173" w:line="241" w:lineRule="auto"/>
        <w:ind w:left="579"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六）具有满足业务需要的技术系统；</w:t>
      </w:r>
    </w:p>
    <w:p w14:paraId="33FC3753">
      <w:pPr>
        <w:pStyle w:val="2"/>
        <w:spacing w:before="168" w:line="292" w:lineRule="auto"/>
        <w:ind w:left="4" w:right="91" w:firstLine="574"/>
      </w:pPr>
      <w:r>
        <w:rPr>
          <w:spacing w:val="-1"/>
        </w:rPr>
        <w:t>（</w:t>
      </w:r>
      <w:r>
        <w:rPr>
          <w:spacing w:val="-83"/>
        </w:rPr>
        <w:t xml:space="preserve"> </w:t>
      </w:r>
      <w:r>
        <w:rPr>
          <w:spacing w:val="-1"/>
        </w:rPr>
        <w:t>七）中国证监会根据市场发展情况和审慎监管原则规</w:t>
      </w:r>
      <w:r>
        <w:rPr>
          <w:spacing w:val="-2"/>
        </w:rPr>
        <w:t>定的其</w:t>
      </w:r>
      <w:r>
        <w:t xml:space="preserve"> </w:t>
      </w:r>
      <w:r>
        <w:rPr>
          <w:spacing w:val="-5"/>
        </w:rPr>
        <w:t>他条件。</w:t>
      </w:r>
    </w:p>
    <w:p w14:paraId="221FC84C">
      <w:pPr>
        <w:pStyle w:val="2"/>
        <w:spacing w:before="165" w:line="396" w:lineRule="exact"/>
        <w:jc w:val="right"/>
      </w:pPr>
      <w:r>
        <w:rPr>
          <w:rFonts w:ascii="黑体" w:hAnsi="黑体" w:eastAsia="黑体" w:cs="黑体"/>
          <w:spacing w:val="-9"/>
          <w:position w:val="1"/>
        </w:rPr>
        <w:t xml:space="preserve">第六条  </w:t>
      </w:r>
      <w:r>
        <w:rPr>
          <w:spacing w:val="-9"/>
          <w:position w:val="1"/>
        </w:rPr>
        <w:t>本办法第五条第（</w:t>
      </w:r>
      <w:r>
        <w:rPr>
          <w:spacing w:val="-78"/>
          <w:position w:val="1"/>
        </w:rPr>
        <w:t xml:space="preserve"> </w:t>
      </w:r>
      <w:r>
        <w:rPr>
          <w:spacing w:val="-9"/>
          <w:position w:val="1"/>
        </w:rPr>
        <w:t>一）项所称风险控制指</w:t>
      </w:r>
      <w:r>
        <w:rPr>
          <w:spacing w:val="-10"/>
          <w:position w:val="1"/>
        </w:rPr>
        <w:t>标标准是指：</w:t>
      </w:r>
    </w:p>
    <w:p w14:paraId="3AF90940">
      <w:pPr>
        <w:pStyle w:val="2"/>
        <w:spacing w:before="170" w:line="241" w:lineRule="auto"/>
        <w:ind w:left="579"/>
      </w:pPr>
      <w:r>
        <w:rPr>
          <w:spacing w:val="-9"/>
        </w:rPr>
        <w:t>（</w:t>
      </w:r>
      <w:r>
        <w:rPr>
          <w:spacing w:val="-74"/>
        </w:rPr>
        <w:t xml:space="preserve"> </w:t>
      </w:r>
      <w:r>
        <w:rPr>
          <w:spacing w:val="-9"/>
        </w:rPr>
        <w:t>一）净资本不低于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12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9"/>
        </w:rPr>
        <w:t>亿元；</w:t>
      </w:r>
    </w:p>
    <w:p w14:paraId="6A784EBD">
      <w:pPr>
        <w:pStyle w:val="2"/>
        <w:spacing w:before="167" w:line="293" w:lineRule="auto"/>
        <w:ind w:left="11" w:right="91" w:firstLine="567"/>
      </w:pPr>
      <w:r>
        <w:rPr>
          <w:spacing w:val="-1"/>
        </w:rPr>
        <w:t>（</w:t>
      </w:r>
      <w:r>
        <w:rPr>
          <w:spacing w:val="-80"/>
        </w:rPr>
        <w:t xml:space="preserve"> </w:t>
      </w:r>
      <w:r>
        <w:rPr>
          <w:spacing w:val="-1"/>
        </w:rPr>
        <w:t>二）流动资产余额不低于流动负债余额（不包</w:t>
      </w:r>
      <w:r>
        <w:rPr>
          <w:spacing w:val="-2"/>
        </w:rPr>
        <w:t>括客户交易结</w:t>
      </w:r>
      <w:r>
        <w:t xml:space="preserve"> </w:t>
      </w:r>
      <w:r>
        <w:rPr>
          <w:spacing w:val="-4"/>
        </w:rPr>
        <w:t>算资金和客户委托管理资金）的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150 </w:t>
      </w:r>
      <w:r>
        <w:rPr>
          <w:spacing w:val="-4"/>
        </w:rPr>
        <w:t>% ;</w:t>
      </w:r>
    </w:p>
    <w:p w14:paraId="4DA48E41">
      <w:pPr>
        <w:pStyle w:val="2"/>
        <w:spacing w:before="168" w:line="292" w:lineRule="auto"/>
        <w:ind w:left="22" w:right="91" w:firstLine="557"/>
      </w:pPr>
      <w:r>
        <w:rPr>
          <w:spacing w:val="9"/>
        </w:rPr>
        <w:t>（</w:t>
      </w:r>
      <w:r>
        <w:rPr>
          <w:spacing w:val="-46"/>
        </w:rPr>
        <w:t xml:space="preserve"> </w:t>
      </w:r>
      <w:r>
        <w:rPr>
          <w:spacing w:val="9"/>
        </w:rPr>
        <w:t>三）对外担保及其他形式的或有负债之和不高于净资产的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60"/>
        </w:rPr>
        <w:t>％</w:t>
      </w:r>
      <w:r>
        <w:rPr>
          <w:spacing w:val="-48"/>
        </w:rPr>
        <w:t xml:space="preserve"> </w:t>
      </w:r>
      <w:r>
        <w:rPr>
          <w:spacing w:val="-60"/>
        </w:rPr>
        <w:t>，</w:t>
      </w:r>
      <w:r>
        <w:rPr>
          <w:spacing w:val="-3"/>
        </w:rPr>
        <w:t>但因证券公司发债提供的反担保除外；</w:t>
      </w:r>
    </w:p>
    <w:p w14:paraId="67FF7A68">
      <w:pPr>
        <w:pStyle w:val="2"/>
        <w:spacing w:before="172" w:line="241" w:lineRule="auto"/>
        <w:ind w:left="579"/>
      </w:pPr>
      <w:r>
        <w:rPr>
          <w:spacing w:val="-9"/>
        </w:rPr>
        <w:t>（</w:t>
      </w:r>
      <w:r>
        <w:rPr>
          <w:spacing w:val="-47"/>
        </w:rPr>
        <w:t xml:space="preserve"> </w:t>
      </w:r>
      <w:r>
        <w:rPr>
          <w:spacing w:val="-9"/>
        </w:rPr>
        <w:t>四）净资本不低于净资产的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70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9"/>
        </w:rPr>
        <w:t>％。</w:t>
      </w:r>
    </w:p>
    <w:p w14:paraId="755CB619">
      <w:pPr>
        <w:pStyle w:val="2"/>
        <w:spacing w:before="168" w:line="343" w:lineRule="auto"/>
        <w:ind w:right="91" w:firstLine="644"/>
      </w:pPr>
      <w:r>
        <w:rPr>
          <w:spacing w:val="-1"/>
        </w:rPr>
        <w:t>中国证监会可以根据市场发展情况和审慎监管原则对前款标准</w:t>
      </w:r>
      <w:r>
        <w:t xml:space="preserve"> </w:t>
      </w:r>
      <w:r>
        <w:rPr>
          <w:spacing w:val="-3"/>
        </w:rPr>
        <w:t>进行调整。</w:t>
      </w:r>
    </w:p>
    <w:p w14:paraId="12BE0DF2">
      <w:pPr>
        <w:spacing w:line="343" w:lineRule="auto"/>
        <w:sectPr>
          <w:footerReference r:id="rId6" w:type="default"/>
          <w:pgSz w:w="11906" w:h="16839"/>
          <w:pgMar w:top="1431" w:right="1497" w:bottom="1157" w:left="1599" w:header="0" w:footer="992" w:gutter="0"/>
          <w:cols w:space="720" w:num="1"/>
        </w:sectPr>
      </w:pPr>
    </w:p>
    <w:p w14:paraId="3F1F1F60">
      <w:pPr>
        <w:spacing w:line="247" w:lineRule="auto"/>
        <w:rPr>
          <w:rFonts w:ascii="Arial"/>
          <w:sz w:val="21"/>
        </w:rPr>
      </w:pPr>
    </w:p>
    <w:p w14:paraId="00AAD9F8">
      <w:pPr>
        <w:spacing w:line="247" w:lineRule="auto"/>
        <w:rPr>
          <w:rFonts w:ascii="Arial"/>
          <w:sz w:val="21"/>
        </w:rPr>
      </w:pPr>
    </w:p>
    <w:p w14:paraId="0D752377">
      <w:pPr>
        <w:spacing w:line="248" w:lineRule="auto"/>
        <w:rPr>
          <w:rFonts w:ascii="Arial"/>
          <w:sz w:val="21"/>
        </w:rPr>
      </w:pPr>
    </w:p>
    <w:p w14:paraId="1B4AB18B">
      <w:pPr>
        <w:pStyle w:val="2"/>
        <w:spacing w:before="98" w:line="345" w:lineRule="auto"/>
        <w:ind w:left="49" w:right="2" w:firstLine="549"/>
      </w:pPr>
      <w:r>
        <w:rPr>
          <w:rFonts w:ascii="黑体" w:hAnsi="黑体" w:eastAsia="黑体" w:cs="黑体"/>
        </w:rPr>
        <w:t xml:space="preserve">第七条  </w:t>
      </w:r>
      <w:r>
        <w:t>证券公司申请介绍业务，应当向中国证监会提交下列</w:t>
      </w:r>
      <w:r>
        <w:rPr>
          <w:spacing w:val="14"/>
        </w:rPr>
        <w:t xml:space="preserve"> </w:t>
      </w:r>
      <w:r>
        <w:rPr>
          <w:spacing w:val="-14"/>
        </w:rPr>
        <w:t>申请材料：</w:t>
      </w:r>
    </w:p>
    <w:p w14:paraId="255B160B">
      <w:pPr>
        <w:pStyle w:val="2"/>
        <w:spacing w:before="3" w:line="239" w:lineRule="auto"/>
        <w:ind w:left="575"/>
      </w:pPr>
      <w:r>
        <w:rPr>
          <w:spacing w:val="-5"/>
        </w:rPr>
        <w:t>（</w:t>
      </w:r>
      <w:r>
        <w:rPr>
          <w:spacing w:val="-78"/>
        </w:rPr>
        <w:t xml:space="preserve"> </w:t>
      </w:r>
      <w:r>
        <w:rPr>
          <w:spacing w:val="-5"/>
        </w:rPr>
        <w:t>一）介绍业务资格申请书；</w:t>
      </w:r>
    </w:p>
    <w:p w14:paraId="23EFC37F">
      <w:pPr>
        <w:pStyle w:val="2"/>
        <w:spacing w:before="172" w:line="293" w:lineRule="auto"/>
        <w:ind w:left="40" w:right="2" w:firstLine="534"/>
      </w:pPr>
      <w:r>
        <w:rPr>
          <w:spacing w:val="-1"/>
        </w:rPr>
        <w:t>（</w:t>
      </w:r>
      <w:r>
        <w:rPr>
          <w:spacing w:val="-80"/>
        </w:rPr>
        <w:t xml:space="preserve"> </w:t>
      </w:r>
      <w:r>
        <w:rPr>
          <w:spacing w:val="-1"/>
        </w:rPr>
        <w:t>二）董事会关于从事介绍业务的决议，公司章</w:t>
      </w:r>
      <w:r>
        <w:rPr>
          <w:spacing w:val="-2"/>
        </w:rPr>
        <w:t>程规定该决议</w:t>
      </w:r>
      <w:r>
        <w:t xml:space="preserve"> </w:t>
      </w:r>
      <w:r>
        <w:rPr>
          <w:spacing w:val="-4"/>
        </w:rPr>
        <w:t>由股东会做出的，应提供股东会的决议；</w:t>
      </w:r>
    </w:p>
    <w:p w14:paraId="167EC917">
      <w:pPr>
        <w:pStyle w:val="2"/>
        <w:spacing w:before="168"/>
        <w:ind w:left="575"/>
      </w:pPr>
      <w:r>
        <w:rPr>
          <w:spacing w:val="-4"/>
        </w:rPr>
        <w:t>（</w:t>
      </w:r>
      <w:r>
        <w:rPr>
          <w:spacing w:val="-68"/>
        </w:rPr>
        <w:t xml:space="preserve"> </w:t>
      </w:r>
      <w:r>
        <w:rPr>
          <w:spacing w:val="-4"/>
        </w:rPr>
        <w:t>三）净资本等指标的计算表及相关说明；</w:t>
      </w:r>
    </w:p>
    <w:p w14:paraId="489CDD85">
      <w:pPr>
        <w:pStyle w:val="2"/>
        <w:spacing w:before="168" w:line="292" w:lineRule="auto"/>
        <w:ind w:left="17" w:right="2" w:firstLine="558"/>
      </w:pPr>
      <w:r>
        <w:rPr>
          <w:spacing w:val="-2"/>
        </w:rPr>
        <w:t>（</w:t>
      </w:r>
      <w:r>
        <w:rPr>
          <w:spacing w:val="-53"/>
        </w:rPr>
        <w:t xml:space="preserve"> </w:t>
      </w:r>
      <w:r>
        <w:rPr>
          <w:spacing w:val="-2"/>
        </w:rPr>
        <w:t>四）客户交易结算资金独立存管制度实施情况</w:t>
      </w:r>
      <w:r>
        <w:rPr>
          <w:spacing w:val="-3"/>
        </w:rPr>
        <w:t>说明及客户交</w:t>
      </w:r>
      <w:r>
        <w:t xml:space="preserve"> </w:t>
      </w:r>
      <w:r>
        <w:rPr>
          <w:spacing w:val="-3"/>
        </w:rPr>
        <w:t>易结算资金第三方存管制度文本；</w:t>
      </w:r>
    </w:p>
    <w:p w14:paraId="15D8414B">
      <w:pPr>
        <w:pStyle w:val="2"/>
        <w:spacing w:before="170" w:line="293" w:lineRule="auto"/>
        <w:ind w:left="9" w:right="35" w:firstLine="566"/>
      </w:pPr>
      <w:r>
        <w:rPr>
          <w:spacing w:val="-2"/>
        </w:rPr>
        <w:t>（</w:t>
      </w:r>
      <w:r>
        <w:rPr>
          <w:spacing w:val="-84"/>
        </w:rPr>
        <w:t xml:space="preserve"> </w:t>
      </w:r>
      <w:r>
        <w:rPr>
          <w:spacing w:val="-2"/>
        </w:rPr>
        <w:t>五）分管介绍业务的有关负责人简历，相</w:t>
      </w:r>
      <w:r>
        <w:rPr>
          <w:spacing w:val="-3"/>
        </w:rPr>
        <w:t>关业务人员简历、</w:t>
      </w:r>
      <w:r>
        <w:t xml:space="preserve"> </w:t>
      </w:r>
      <w:r>
        <w:rPr>
          <w:spacing w:val="-3"/>
        </w:rPr>
        <w:t>期货从业人员条件证明；</w:t>
      </w:r>
    </w:p>
    <w:p w14:paraId="55748247">
      <w:pPr>
        <w:pStyle w:val="2"/>
        <w:spacing w:before="171" w:line="291" w:lineRule="auto"/>
        <w:ind w:right="2" w:firstLine="575"/>
      </w:pPr>
      <w:r>
        <w:rPr>
          <w:spacing w:val="-2"/>
        </w:rPr>
        <w:t>（</w:t>
      </w:r>
      <w:r>
        <w:rPr>
          <w:spacing w:val="-59"/>
        </w:rPr>
        <w:t xml:space="preserve"> </w:t>
      </w:r>
      <w:r>
        <w:rPr>
          <w:spacing w:val="-2"/>
        </w:rPr>
        <w:t>六）关于介绍业务的业务规则、内部控制、风险隔离和合规</w:t>
      </w:r>
      <w:r>
        <w:t xml:space="preserve"> </w:t>
      </w:r>
      <w:r>
        <w:rPr>
          <w:spacing w:val="-3"/>
        </w:rPr>
        <w:t>检查等制度文本；</w:t>
      </w:r>
    </w:p>
    <w:p w14:paraId="4A4CB51B">
      <w:pPr>
        <w:pStyle w:val="2"/>
        <w:spacing w:before="171" w:line="241" w:lineRule="auto"/>
        <w:ind w:left="575"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七）关于技术系统准备情况的说明；</w:t>
      </w:r>
    </w:p>
    <w:p w14:paraId="09E1E4C5">
      <w:pPr>
        <w:pStyle w:val="2"/>
        <w:spacing w:before="169" w:line="310" w:lineRule="auto"/>
        <w:ind w:left="2" w:right="2" w:firstLine="573"/>
      </w:pPr>
      <w:r>
        <w:rPr>
          <w:spacing w:val="1"/>
        </w:rPr>
        <w:t>（八）全资拥有或者控股期货公司，或者与期货公司被同一机</w:t>
      </w:r>
      <w:r>
        <w:rPr>
          <w:spacing w:val="10"/>
        </w:rPr>
        <w:t xml:space="preserve"> </w:t>
      </w:r>
      <w:r>
        <w:t>构控制的情况说明，该期货公司在申请日前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2 </w:t>
      </w:r>
      <w:r>
        <w:t xml:space="preserve">个月月末的风险监管 </w:t>
      </w:r>
      <w:r>
        <w:rPr>
          <w:spacing w:val="-7"/>
        </w:rPr>
        <w:t>报表；</w:t>
      </w:r>
    </w:p>
    <w:p w14:paraId="53DDB10B">
      <w:pPr>
        <w:pStyle w:val="2"/>
        <w:spacing w:before="170" w:line="241" w:lineRule="auto"/>
        <w:ind w:left="575"/>
      </w:pPr>
      <w:r>
        <w:t>（九）与期货公司拟签订的介绍业务委托协议文本。</w:t>
      </w:r>
    </w:p>
    <w:p w14:paraId="67BC3E5D">
      <w:pPr>
        <w:pStyle w:val="2"/>
        <w:spacing w:before="163" w:line="294" w:lineRule="auto"/>
        <w:ind w:left="38" w:firstLine="560"/>
      </w:pPr>
      <w:r>
        <w:rPr>
          <w:rFonts w:ascii="黑体" w:hAnsi="黑体" w:eastAsia="黑体" w:cs="黑体"/>
          <w:spacing w:val="-9"/>
        </w:rPr>
        <w:t xml:space="preserve">第八条  </w:t>
      </w:r>
      <w:r>
        <w:rPr>
          <w:spacing w:val="-9"/>
        </w:rPr>
        <w:t>中国证监会自受理申请材料之日起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20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-9"/>
        </w:rPr>
        <w:t>个工作</w:t>
      </w:r>
      <w:r>
        <w:rPr>
          <w:spacing w:val="-65"/>
        </w:rPr>
        <w:t xml:space="preserve"> </w:t>
      </w:r>
      <w:r>
        <w:rPr>
          <w:spacing w:val="-9"/>
        </w:rPr>
        <w:t>日内，作</w:t>
      </w:r>
      <w:r>
        <w:t xml:space="preserve"> </w:t>
      </w:r>
      <w:r>
        <w:rPr>
          <w:spacing w:val="-5"/>
        </w:rPr>
        <w:t>出批准或者不予批准的决定。</w:t>
      </w:r>
    </w:p>
    <w:p w14:paraId="7301388A">
      <w:pPr>
        <w:pStyle w:val="2"/>
        <w:spacing w:before="165" w:line="294" w:lineRule="auto"/>
        <w:ind w:left="11" w:right="2" w:firstLine="587"/>
      </w:pPr>
      <w:r>
        <w:rPr>
          <w:rFonts w:ascii="黑体" w:hAnsi="黑体" w:eastAsia="黑体" w:cs="黑体"/>
        </w:rPr>
        <w:t xml:space="preserve">第九条  </w:t>
      </w:r>
      <w:r>
        <w:t>证券公司受期货公司委托从事介绍业务，应当提供下</w:t>
      </w:r>
      <w:r>
        <w:rPr>
          <w:spacing w:val="14"/>
        </w:rPr>
        <w:t xml:space="preserve"> </w:t>
      </w:r>
      <w:r>
        <w:rPr>
          <w:spacing w:val="-8"/>
        </w:rPr>
        <w:t>列服务：</w:t>
      </w:r>
    </w:p>
    <w:p w14:paraId="6A1E6545">
      <w:pPr>
        <w:pStyle w:val="2"/>
        <w:spacing w:before="168" w:line="241" w:lineRule="auto"/>
        <w:ind w:left="575"/>
      </w:pPr>
      <w:r>
        <w:rPr>
          <w:spacing w:val="-6"/>
        </w:rPr>
        <w:t>（</w:t>
      </w:r>
      <w:r>
        <w:rPr>
          <w:spacing w:val="-72"/>
        </w:rPr>
        <w:t xml:space="preserve"> </w:t>
      </w:r>
      <w:r>
        <w:rPr>
          <w:spacing w:val="-6"/>
        </w:rPr>
        <w:t>一）协助办理开户手续；</w:t>
      </w:r>
    </w:p>
    <w:p w14:paraId="528C4877">
      <w:pPr>
        <w:spacing w:line="241" w:lineRule="auto"/>
        <w:sectPr>
          <w:footerReference r:id="rId7" w:type="default"/>
          <w:pgSz w:w="11906" w:h="16839"/>
          <w:pgMar w:top="1431" w:right="1585" w:bottom="1157" w:left="1602" w:header="0" w:footer="992" w:gutter="0"/>
          <w:cols w:space="720" w:num="1"/>
        </w:sectPr>
      </w:pPr>
    </w:p>
    <w:p w14:paraId="5B9164FD">
      <w:pPr>
        <w:spacing w:line="248" w:lineRule="auto"/>
        <w:rPr>
          <w:rFonts w:ascii="Arial"/>
          <w:sz w:val="21"/>
        </w:rPr>
      </w:pPr>
    </w:p>
    <w:p w14:paraId="74EA6EF1">
      <w:pPr>
        <w:spacing w:line="249" w:lineRule="auto"/>
        <w:rPr>
          <w:rFonts w:ascii="Arial"/>
          <w:sz w:val="21"/>
        </w:rPr>
      </w:pPr>
    </w:p>
    <w:p w14:paraId="4E4F8E69">
      <w:pPr>
        <w:spacing w:line="249" w:lineRule="auto"/>
        <w:rPr>
          <w:rFonts w:ascii="Arial"/>
          <w:sz w:val="21"/>
        </w:rPr>
      </w:pPr>
    </w:p>
    <w:p w14:paraId="2744B86F">
      <w:pPr>
        <w:pStyle w:val="2"/>
        <w:spacing w:before="97"/>
        <w:ind w:left="576"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二）提供期货行情信息、交易设施；</w:t>
      </w:r>
    </w:p>
    <w:p w14:paraId="44C4C619">
      <w:pPr>
        <w:pStyle w:val="2"/>
        <w:spacing w:before="172"/>
        <w:ind w:left="576"/>
      </w:pPr>
      <w:r>
        <w:rPr>
          <w:spacing w:val="-5"/>
        </w:rPr>
        <w:t>（</w:t>
      </w:r>
      <w:r>
        <w:rPr>
          <w:spacing w:val="-64"/>
        </w:rPr>
        <w:t xml:space="preserve"> </w:t>
      </w:r>
      <w:r>
        <w:rPr>
          <w:spacing w:val="-5"/>
        </w:rPr>
        <w:t>三）中国证监会规定的其他服务。</w:t>
      </w:r>
    </w:p>
    <w:p w14:paraId="438F2F84">
      <w:pPr>
        <w:pStyle w:val="2"/>
        <w:spacing w:before="170" w:line="343" w:lineRule="auto"/>
        <w:ind w:right="2" w:firstLine="603"/>
        <w:jc w:val="both"/>
      </w:pPr>
      <w:r>
        <w:t>证券公司不得代理客户进行期货交易、结算或者交割，不得代</w:t>
      </w:r>
      <w:r>
        <w:rPr>
          <w:spacing w:val="11"/>
        </w:rPr>
        <w:t xml:space="preserve"> </w:t>
      </w:r>
      <w:r>
        <w:t>期货公司、客户收付期货保证金，不得利用证券资金账户为客户存</w:t>
      </w:r>
      <w:r>
        <w:rPr>
          <w:spacing w:val="14"/>
        </w:rPr>
        <w:t xml:space="preserve"> </w:t>
      </w:r>
      <w:r>
        <w:rPr>
          <w:spacing w:val="-2"/>
        </w:rPr>
        <w:t>取、划转期货保证金。</w:t>
      </w:r>
    </w:p>
    <w:p w14:paraId="5D512DD7">
      <w:pPr>
        <w:pStyle w:val="2"/>
        <w:spacing w:before="3" w:line="344" w:lineRule="auto"/>
        <w:ind w:left="1" w:right="2" w:firstLine="598"/>
      </w:pPr>
      <w:r>
        <w:rPr>
          <w:rFonts w:ascii="黑体" w:hAnsi="黑体" w:eastAsia="黑体" w:cs="黑体"/>
        </w:rPr>
        <w:t xml:space="preserve">第十条  </w:t>
      </w:r>
      <w:r>
        <w:t>证券公司从事介绍业务，应当与期货公司签订书面委</w:t>
      </w:r>
      <w:r>
        <w:rPr>
          <w:spacing w:val="14"/>
        </w:rPr>
        <w:t xml:space="preserve"> </w:t>
      </w:r>
      <w:r>
        <w:rPr>
          <w:spacing w:val="-1"/>
        </w:rPr>
        <w:t>托协议。委托协议应当载明下列事项：</w:t>
      </w:r>
    </w:p>
    <w:p w14:paraId="4191421E">
      <w:pPr>
        <w:pStyle w:val="2"/>
        <w:spacing w:before="5" w:line="241" w:lineRule="auto"/>
        <w:ind w:left="576"/>
      </w:pPr>
      <w:r>
        <w:rPr>
          <w:spacing w:val="-6"/>
        </w:rPr>
        <w:t>（</w:t>
      </w:r>
      <w:r>
        <w:rPr>
          <w:spacing w:val="-78"/>
        </w:rPr>
        <w:t xml:space="preserve"> </w:t>
      </w:r>
      <w:r>
        <w:rPr>
          <w:spacing w:val="-6"/>
        </w:rPr>
        <w:t>一）介绍业务的范围；</w:t>
      </w:r>
    </w:p>
    <w:p w14:paraId="536E0B21">
      <w:pPr>
        <w:pStyle w:val="2"/>
        <w:spacing w:before="168" w:line="238" w:lineRule="auto"/>
        <w:ind w:left="576"/>
      </w:pPr>
      <w:r>
        <w:rPr>
          <w:spacing w:val="-4"/>
        </w:rPr>
        <w:t>（</w:t>
      </w:r>
      <w:r>
        <w:rPr>
          <w:spacing w:val="-64"/>
        </w:rPr>
        <w:t xml:space="preserve"> </w:t>
      </w:r>
      <w:r>
        <w:rPr>
          <w:spacing w:val="-4"/>
        </w:rPr>
        <w:t>二）执行期货保证金安全存管制度的措施；</w:t>
      </w:r>
    </w:p>
    <w:p w14:paraId="446A170E">
      <w:pPr>
        <w:pStyle w:val="2"/>
        <w:spacing w:before="173" w:line="241" w:lineRule="auto"/>
        <w:ind w:left="576"/>
      </w:pPr>
      <w:r>
        <w:rPr>
          <w:spacing w:val="-6"/>
        </w:rPr>
        <w:t>（</w:t>
      </w:r>
      <w:r>
        <w:rPr>
          <w:spacing w:val="-72"/>
        </w:rPr>
        <w:t xml:space="preserve"> </w:t>
      </w:r>
      <w:r>
        <w:rPr>
          <w:spacing w:val="-6"/>
        </w:rPr>
        <w:t>三）介绍业务对接规则；</w:t>
      </w:r>
    </w:p>
    <w:p w14:paraId="32D34238">
      <w:pPr>
        <w:pStyle w:val="2"/>
        <w:spacing w:before="170"/>
        <w:ind w:left="576"/>
      </w:pPr>
      <w:r>
        <w:rPr>
          <w:spacing w:val="-6"/>
        </w:rPr>
        <w:t>（</w:t>
      </w:r>
      <w:r>
        <w:rPr>
          <w:spacing w:val="-54"/>
        </w:rPr>
        <w:t xml:space="preserve"> </w:t>
      </w:r>
      <w:r>
        <w:rPr>
          <w:spacing w:val="-6"/>
        </w:rPr>
        <w:t>四）客户投诉的接待处理方式；</w:t>
      </w:r>
    </w:p>
    <w:p w14:paraId="54791C88">
      <w:pPr>
        <w:pStyle w:val="2"/>
        <w:spacing w:before="169"/>
        <w:ind w:left="576"/>
      </w:pPr>
      <w:r>
        <w:rPr>
          <w:spacing w:val="-4"/>
        </w:rPr>
        <w:t>（</w:t>
      </w:r>
      <w:r>
        <w:rPr>
          <w:spacing w:val="-72"/>
        </w:rPr>
        <w:t xml:space="preserve"> </w:t>
      </w:r>
      <w:r>
        <w:rPr>
          <w:spacing w:val="-4"/>
        </w:rPr>
        <w:t>五）报酬支付及相关费用的分担方式；</w:t>
      </w:r>
    </w:p>
    <w:p w14:paraId="1FE7E2BA">
      <w:pPr>
        <w:pStyle w:val="2"/>
        <w:spacing w:before="169" w:line="241" w:lineRule="auto"/>
        <w:ind w:left="576"/>
      </w:pPr>
      <w:r>
        <w:rPr>
          <w:spacing w:val="-8"/>
        </w:rPr>
        <w:t>（</w:t>
      </w:r>
      <w:r>
        <w:rPr>
          <w:spacing w:val="-79"/>
        </w:rPr>
        <w:t xml:space="preserve"> </w:t>
      </w:r>
      <w:r>
        <w:rPr>
          <w:spacing w:val="-8"/>
        </w:rPr>
        <w:t>六）违约责任；</w:t>
      </w:r>
    </w:p>
    <w:p w14:paraId="464596B6">
      <w:pPr>
        <w:pStyle w:val="2"/>
        <w:spacing w:before="170"/>
        <w:ind w:left="576"/>
      </w:pPr>
      <w:r>
        <w:rPr>
          <w:spacing w:val="-4"/>
        </w:rPr>
        <w:t>（</w:t>
      </w:r>
      <w:r>
        <w:rPr>
          <w:spacing w:val="-80"/>
        </w:rPr>
        <w:t xml:space="preserve"> </w:t>
      </w:r>
      <w:r>
        <w:rPr>
          <w:spacing w:val="-4"/>
        </w:rPr>
        <w:t>七）中国证监会规定的其他事项。</w:t>
      </w:r>
    </w:p>
    <w:p w14:paraId="1785A011">
      <w:pPr>
        <w:pStyle w:val="2"/>
        <w:spacing w:before="169" w:line="343" w:lineRule="auto"/>
        <w:ind w:left="1" w:right="2" w:firstLine="601"/>
      </w:pPr>
      <w:r>
        <w:t>双方可以在委托协议中约定前款规定以外的其他事项，但不得</w:t>
      </w:r>
      <w:r>
        <w:rPr>
          <w:spacing w:val="12"/>
        </w:rPr>
        <w:t xml:space="preserve"> </w:t>
      </w:r>
      <w:r>
        <w:rPr>
          <w:spacing w:val="-1"/>
        </w:rPr>
        <w:t>违反法律、行政法规和本办法的规定，不得损害客户的合法权益。</w:t>
      </w:r>
    </w:p>
    <w:p w14:paraId="060D744A">
      <w:pPr>
        <w:pStyle w:val="2"/>
        <w:spacing w:before="6" w:line="343" w:lineRule="auto"/>
        <w:ind w:left="12" w:right="2" w:firstLine="590"/>
      </w:pPr>
      <w:r>
        <w:t>证券公司按照委托协议对期货公司承担介绍业务受托责任。基</w:t>
      </w:r>
      <w:r>
        <w:rPr>
          <w:spacing w:val="11"/>
        </w:rPr>
        <w:t xml:space="preserve"> </w:t>
      </w:r>
      <w:r>
        <w:rPr>
          <w:spacing w:val="-2"/>
        </w:rPr>
        <w:t>于期货经纪合同的责任由期货公司直接对客户承担。</w:t>
      </w:r>
    </w:p>
    <w:p w14:paraId="5F8F180A">
      <w:pPr>
        <w:pStyle w:val="2"/>
        <w:spacing w:before="2" w:line="345" w:lineRule="auto"/>
        <w:ind w:firstLine="600"/>
        <w:jc w:val="both"/>
      </w:pPr>
      <w:r>
        <w:rPr>
          <w:rFonts w:ascii="黑体" w:hAnsi="黑体" w:eastAsia="黑体" w:cs="黑体"/>
        </w:rPr>
        <w:t xml:space="preserve">第十一条  </w:t>
      </w:r>
      <w:r>
        <w:t>证券公司与期货公司签订、变更或者终止委托协议</w:t>
      </w:r>
      <w:r>
        <w:rPr>
          <w:spacing w:val="14"/>
        </w:rPr>
        <w:t xml:space="preserve"> </w:t>
      </w:r>
      <w:r>
        <w:rPr>
          <w:spacing w:val="-6"/>
        </w:rPr>
        <w:t>的，双方应当在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6"/>
        </w:rPr>
        <w:t>个工作</w:t>
      </w:r>
      <w:r>
        <w:rPr>
          <w:spacing w:val="-64"/>
        </w:rPr>
        <w:t xml:space="preserve"> </w:t>
      </w:r>
      <w:r>
        <w:rPr>
          <w:spacing w:val="-6"/>
        </w:rPr>
        <w:t>日</w:t>
      </w:r>
      <w:r>
        <w:rPr>
          <w:spacing w:val="-88"/>
        </w:rPr>
        <w:t xml:space="preserve"> </w:t>
      </w:r>
      <w:r>
        <w:rPr>
          <w:spacing w:val="-6"/>
        </w:rPr>
        <w:t>内报各自所在地的中国证监会派出机构</w:t>
      </w:r>
      <w:r>
        <w:t xml:space="preserve"> </w:t>
      </w:r>
      <w:r>
        <w:rPr>
          <w:spacing w:val="-6"/>
        </w:rPr>
        <w:t>备案。</w:t>
      </w:r>
    </w:p>
    <w:p w14:paraId="669CA5F4">
      <w:pPr>
        <w:spacing w:line="345" w:lineRule="auto"/>
        <w:sectPr>
          <w:footerReference r:id="rId8" w:type="default"/>
          <w:pgSz w:w="11906" w:h="16839"/>
          <w:pgMar w:top="1431" w:right="1586" w:bottom="1157" w:left="1601" w:header="0" w:footer="992" w:gutter="0"/>
          <w:cols w:space="720" w:num="1"/>
        </w:sectPr>
      </w:pPr>
    </w:p>
    <w:p w14:paraId="763EE77D">
      <w:pPr>
        <w:spacing w:line="247" w:lineRule="auto"/>
        <w:rPr>
          <w:rFonts w:ascii="Arial"/>
          <w:sz w:val="21"/>
        </w:rPr>
      </w:pPr>
    </w:p>
    <w:p w14:paraId="5CC67EB5">
      <w:pPr>
        <w:spacing w:line="248" w:lineRule="auto"/>
        <w:rPr>
          <w:rFonts w:ascii="Arial"/>
          <w:sz w:val="21"/>
        </w:rPr>
      </w:pPr>
    </w:p>
    <w:p w14:paraId="6D7020E2">
      <w:pPr>
        <w:spacing w:line="248" w:lineRule="auto"/>
        <w:rPr>
          <w:rFonts w:ascii="Arial"/>
          <w:sz w:val="21"/>
        </w:rPr>
      </w:pPr>
    </w:p>
    <w:p w14:paraId="16A94E64">
      <w:pPr>
        <w:spacing w:before="97" w:line="239" w:lineRule="auto"/>
        <w:ind w:left="316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6"/>
          <w:sz w:val="30"/>
          <w:szCs w:val="30"/>
        </w:rPr>
        <w:t>第三章</w:t>
      </w:r>
      <w:r>
        <w:rPr>
          <w:rFonts w:ascii="黑体" w:hAnsi="黑体" w:eastAsia="黑体" w:cs="黑体"/>
          <w:spacing w:val="12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6"/>
          <w:sz w:val="30"/>
          <w:szCs w:val="30"/>
        </w:rPr>
        <w:t>业务规则</w:t>
      </w:r>
    </w:p>
    <w:p w14:paraId="03AF43A2">
      <w:pPr>
        <w:spacing w:line="315" w:lineRule="auto"/>
        <w:rPr>
          <w:rFonts w:ascii="Arial"/>
          <w:sz w:val="21"/>
        </w:rPr>
      </w:pPr>
    </w:p>
    <w:p w14:paraId="43BB8B03">
      <w:pPr>
        <w:spacing w:line="316" w:lineRule="auto"/>
        <w:rPr>
          <w:rFonts w:ascii="Arial"/>
          <w:sz w:val="21"/>
        </w:rPr>
      </w:pPr>
    </w:p>
    <w:p w14:paraId="05168483">
      <w:pPr>
        <w:pStyle w:val="2"/>
        <w:spacing w:before="97" w:line="311" w:lineRule="auto"/>
        <w:ind w:left="1" w:firstLine="597"/>
      </w:pPr>
      <w:r>
        <w:rPr>
          <w:rFonts w:ascii="黑体" w:hAnsi="黑体" w:eastAsia="黑体" w:cs="黑体"/>
        </w:rPr>
        <w:t xml:space="preserve">第十二条  </w:t>
      </w:r>
      <w:r>
        <w:t>证券公司只能接受其全资拥有或者控股的、或者被</w:t>
      </w:r>
      <w:r>
        <w:rPr>
          <w:spacing w:val="14"/>
        </w:rPr>
        <w:t xml:space="preserve"> </w:t>
      </w:r>
      <w:r>
        <w:t>同一机构控制的期货公司的委托从事介绍业务，不能接受其他期货</w:t>
      </w:r>
      <w:r>
        <w:rPr>
          <w:spacing w:val="12"/>
        </w:rPr>
        <w:t xml:space="preserve"> </w:t>
      </w:r>
      <w:r>
        <w:rPr>
          <w:spacing w:val="-2"/>
        </w:rPr>
        <w:t>公司的委托从事介绍业务。</w:t>
      </w:r>
    </w:p>
    <w:p w14:paraId="5DC775E6">
      <w:pPr>
        <w:pStyle w:val="2"/>
        <w:spacing w:before="162" w:line="311" w:lineRule="auto"/>
        <w:ind w:left="6" w:firstLine="591"/>
      </w:pPr>
      <w:r>
        <w:rPr>
          <w:rFonts w:ascii="黑体" w:hAnsi="黑体" w:eastAsia="黑体" w:cs="黑体"/>
        </w:rPr>
        <w:t xml:space="preserve">第十三条  </w:t>
      </w:r>
      <w:r>
        <w:t>证券公司应当按照合规、审慎经营的原则，制定并</w:t>
      </w:r>
      <w:r>
        <w:rPr>
          <w:spacing w:val="14"/>
        </w:rPr>
        <w:t xml:space="preserve"> </w:t>
      </w:r>
      <w:r>
        <w:t>有效执行介绍业务规则、内部控制、合规检查等制度，确保有效防</w:t>
      </w:r>
      <w:r>
        <w:rPr>
          <w:spacing w:val="6"/>
        </w:rPr>
        <w:t xml:space="preserve"> </w:t>
      </w:r>
      <w:r>
        <w:rPr>
          <w:spacing w:val="-2"/>
        </w:rPr>
        <w:t>范和隔离介绍业务与其他业务的风险。</w:t>
      </w:r>
    </w:p>
    <w:p w14:paraId="624FDAFD">
      <w:pPr>
        <w:pStyle w:val="2"/>
        <w:spacing w:before="166" w:line="310" w:lineRule="auto"/>
        <w:ind w:firstLine="598"/>
      </w:pPr>
      <w:r>
        <w:rPr>
          <w:rFonts w:ascii="黑体" w:hAnsi="黑体" w:eastAsia="黑体" w:cs="黑体"/>
          <w:spacing w:val="11"/>
        </w:rPr>
        <w:t xml:space="preserve">第十四条  </w:t>
      </w:r>
      <w:r>
        <w:rPr>
          <w:spacing w:val="11"/>
        </w:rPr>
        <w:t>期货公司与证券公司应当建立介绍业务的对接规</w:t>
      </w:r>
      <w:r>
        <w:rPr>
          <w:spacing w:val="17"/>
        </w:rPr>
        <w:t xml:space="preserve"> </w:t>
      </w:r>
      <w:r>
        <w:t>则，明确办理开户、行情和交易系统的安装维护、客户投诉的接待</w:t>
      </w:r>
      <w:r>
        <w:rPr>
          <w:spacing w:val="13"/>
        </w:rPr>
        <w:t xml:space="preserve"> </w:t>
      </w:r>
      <w:r>
        <w:rPr>
          <w:spacing w:val="-2"/>
        </w:rPr>
        <w:t>处理等业务的协作程序和规则。</w:t>
      </w:r>
    </w:p>
    <w:p w14:paraId="77F36DEE">
      <w:pPr>
        <w:pStyle w:val="2"/>
        <w:spacing w:before="166" w:line="294" w:lineRule="auto"/>
        <w:ind w:left="25" w:firstLine="573"/>
      </w:pPr>
      <w:r>
        <w:rPr>
          <w:rFonts w:ascii="黑体" w:hAnsi="黑体" w:eastAsia="黑体" w:cs="黑体"/>
        </w:rPr>
        <w:t xml:space="preserve">第十五条  </w:t>
      </w:r>
      <w:r>
        <w:t>证券公司与期货公司应当独立经营，保持财务、人</w:t>
      </w:r>
      <w:r>
        <w:rPr>
          <w:spacing w:val="14"/>
        </w:rPr>
        <w:t xml:space="preserve"> </w:t>
      </w:r>
      <w:r>
        <w:rPr>
          <w:spacing w:val="-4"/>
        </w:rPr>
        <w:t>员、经营场所等分开隔离。</w:t>
      </w:r>
    </w:p>
    <w:p w14:paraId="3A033014">
      <w:pPr>
        <w:pStyle w:val="2"/>
        <w:spacing w:before="165" w:line="294" w:lineRule="auto"/>
        <w:ind w:firstLine="598"/>
      </w:pPr>
      <w:r>
        <w:rPr>
          <w:rFonts w:ascii="黑体" w:hAnsi="黑体" w:eastAsia="黑体" w:cs="黑体"/>
          <w:spacing w:val="11"/>
        </w:rPr>
        <w:t xml:space="preserve">第十六条  </w:t>
      </w:r>
      <w:r>
        <w:rPr>
          <w:spacing w:val="11"/>
        </w:rPr>
        <w:t>证券公司应当根据内部控制和风险隔离制度的规</w:t>
      </w:r>
      <w:r>
        <w:rPr>
          <w:spacing w:val="17"/>
        </w:rPr>
        <w:t xml:space="preserve"> </w:t>
      </w:r>
      <w:r>
        <w:rPr>
          <w:spacing w:val="-1"/>
        </w:rPr>
        <w:t>定，指定有关负责人和有关部门负责介绍业务的经营管理。</w:t>
      </w:r>
    </w:p>
    <w:p w14:paraId="0E2E04B2">
      <w:pPr>
        <w:pStyle w:val="2"/>
        <w:spacing w:before="169" w:line="344" w:lineRule="auto"/>
        <w:ind w:left="9" w:right="57" w:firstLine="593"/>
      </w:pPr>
      <w:r>
        <w:rPr>
          <w:spacing w:val="-2"/>
        </w:rPr>
        <w:t>证券公司应当配备足够的具有期货从业人员资格的业务人员，</w:t>
      </w:r>
      <w:r>
        <w:rPr>
          <w:spacing w:val="7"/>
        </w:rPr>
        <w:t xml:space="preserve"> </w:t>
      </w:r>
      <w:r>
        <w:rPr>
          <w:spacing w:val="-1"/>
        </w:rPr>
        <w:t>不得任用不符合期货从业人员条件的业务人员从事介绍业务。</w:t>
      </w:r>
    </w:p>
    <w:p w14:paraId="02753E44">
      <w:pPr>
        <w:pStyle w:val="2"/>
        <w:spacing w:before="2" w:line="239" w:lineRule="auto"/>
        <w:ind w:left="602"/>
      </w:pPr>
      <w:r>
        <w:rPr>
          <w:spacing w:val="-1"/>
        </w:rPr>
        <w:t>证券公司从事介绍业务的工作人员不得进行期货交易。</w:t>
      </w:r>
    </w:p>
    <w:p w14:paraId="2DDC0313">
      <w:pPr>
        <w:pStyle w:val="2"/>
        <w:spacing w:before="169" w:line="345" w:lineRule="auto"/>
        <w:ind w:left="1" w:right="57" w:firstLine="597"/>
      </w:pPr>
      <w:r>
        <w:rPr>
          <w:rFonts w:ascii="黑体" w:hAnsi="黑体" w:eastAsia="黑体" w:cs="黑体"/>
          <w:spacing w:val="-2"/>
        </w:rPr>
        <w:t xml:space="preserve">第十七条  </w:t>
      </w:r>
      <w:r>
        <w:rPr>
          <w:spacing w:val="-2"/>
        </w:rPr>
        <w:t>证券公司应当在其经营场所显著位置或者其网站，</w:t>
      </w:r>
      <w:r>
        <w:rPr>
          <w:spacing w:val="13"/>
        </w:rPr>
        <w:t xml:space="preserve"> </w:t>
      </w:r>
      <w:r>
        <w:rPr>
          <w:spacing w:val="-3"/>
        </w:rPr>
        <w:t>公开下列信息：</w:t>
      </w:r>
    </w:p>
    <w:p w14:paraId="16D4998A">
      <w:pPr>
        <w:pStyle w:val="2"/>
        <w:spacing w:before="1" w:line="241" w:lineRule="auto"/>
        <w:ind w:left="575"/>
      </w:pPr>
      <w:r>
        <w:rPr>
          <w:spacing w:val="-5"/>
        </w:rPr>
        <w:t>（</w:t>
      </w:r>
      <w:r>
        <w:rPr>
          <w:spacing w:val="-69"/>
        </w:rPr>
        <w:t xml:space="preserve"> </w:t>
      </w:r>
      <w:r>
        <w:rPr>
          <w:spacing w:val="-5"/>
        </w:rPr>
        <w:t>一）受托从事的介绍业务范围；</w:t>
      </w:r>
    </w:p>
    <w:p w14:paraId="54E903C3">
      <w:pPr>
        <w:pStyle w:val="2"/>
        <w:spacing w:before="167"/>
        <w:ind w:left="575"/>
      </w:pPr>
      <w:r>
        <w:rPr>
          <w:spacing w:val="-3"/>
        </w:rPr>
        <w:t>（</w:t>
      </w:r>
      <w:r>
        <w:rPr>
          <w:spacing w:val="-66"/>
        </w:rPr>
        <w:t xml:space="preserve"> </w:t>
      </w:r>
      <w:r>
        <w:rPr>
          <w:spacing w:val="-3"/>
        </w:rPr>
        <w:t>二）从事介绍业务的管理人员和业务人员的名单和照片；</w:t>
      </w:r>
    </w:p>
    <w:p w14:paraId="05483742">
      <w:pPr>
        <w:sectPr>
          <w:footerReference r:id="rId9" w:type="default"/>
          <w:pgSz w:w="11906" w:h="16839"/>
          <w:pgMar w:top="1431" w:right="1588" w:bottom="1157" w:left="1602" w:header="0" w:footer="992" w:gutter="0"/>
          <w:cols w:space="720" w:num="1"/>
        </w:sectPr>
      </w:pPr>
    </w:p>
    <w:p w14:paraId="17AAD7B5">
      <w:pPr>
        <w:spacing w:line="249" w:lineRule="auto"/>
        <w:rPr>
          <w:rFonts w:ascii="Arial"/>
          <w:sz w:val="21"/>
        </w:rPr>
      </w:pPr>
    </w:p>
    <w:p w14:paraId="13E65D79">
      <w:pPr>
        <w:spacing w:line="249" w:lineRule="auto"/>
        <w:rPr>
          <w:rFonts w:ascii="Arial"/>
          <w:sz w:val="21"/>
        </w:rPr>
      </w:pPr>
    </w:p>
    <w:p w14:paraId="39EB5593">
      <w:pPr>
        <w:spacing w:line="249" w:lineRule="auto"/>
        <w:rPr>
          <w:rFonts w:ascii="Arial"/>
          <w:sz w:val="21"/>
        </w:rPr>
      </w:pPr>
    </w:p>
    <w:p w14:paraId="36E9DF2D">
      <w:pPr>
        <w:pStyle w:val="2"/>
        <w:spacing w:before="98" w:line="293" w:lineRule="auto"/>
        <w:ind w:left="15" w:right="93" w:firstLine="559"/>
      </w:pPr>
      <w:r>
        <w:rPr>
          <w:spacing w:val="-2"/>
        </w:rPr>
        <w:t>（</w:t>
      </w:r>
      <w:r>
        <w:rPr>
          <w:spacing w:val="-59"/>
        </w:rPr>
        <w:t xml:space="preserve"> </w:t>
      </w:r>
      <w:r>
        <w:rPr>
          <w:spacing w:val="-2"/>
        </w:rPr>
        <w:t>三）期货公司期货保证金账户信息、期货保证金安全存管方</w:t>
      </w:r>
      <w:r>
        <w:t xml:space="preserve"> </w:t>
      </w:r>
      <w:r>
        <w:rPr>
          <w:spacing w:val="-17"/>
        </w:rPr>
        <w:t>式；</w:t>
      </w:r>
    </w:p>
    <w:p w14:paraId="51557C1E">
      <w:pPr>
        <w:pStyle w:val="2"/>
        <w:spacing w:before="167" w:line="241" w:lineRule="auto"/>
        <w:ind w:left="574"/>
      </w:pPr>
      <w:r>
        <w:rPr>
          <w:spacing w:val="-5"/>
        </w:rPr>
        <w:t>（</w:t>
      </w:r>
      <w:r>
        <w:rPr>
          <w:spacing w:val="-49"/>
        </w:rPr>
        <w:t xml:space="preserve"> </w:t>
      </w:r>
      <w:r>
        <w:rPr>
          <w:spacing w:val="-5"/>
        </w:rPr>
        <w:t>四）客户开户和交易流程、出入金流程；</w:t>
      </w:r>
    </w:p>
    <w:p w14:paraId="72934407">
      <w:pPr>
        <w:pStyle w:val="2"/>
        <w:spacing w:before="168"/>
        <w:ind w:left="574"/>
      </w:pPr>
      <w:r>
        <w:rPr>
          <w:spacing w:val="-5"/>
        </w:rPr>
        <w:t>（</w:t>
      </w:r>
      <w:r>
        <w:rPr>
          <w:spacing w:val="-74"/>
        </w:rPr>
        <w:t xml:space="preserve"> </w:t>
      </w:r>
      <w:r>
        <w:rPr>
          <w:spacing w:val="-5"/>
        </w:rPr>
        <w:t>五）交易结算结果查询方式；</w:t>
      </w:r>
    </w:p>
    <w:p w14:paraId="2EC133CA">
      <w:pPr>
        <w:pStyle w:val="2"/>
        <w:spacing w:before="171"/>
        <w:ind w:left="574"/>
      </w:pPr>
      <w:r>
        <w:rPr>
          <w:spacing w:val="-4"/>
        </w:rPr>
        <w:t>（</w:t>
      </w:r>
      <w:r>
        <w:rPr>
          <w:spacing w:val="-79"/>
        </w:rPr>
        <w:t xml:space="preserve"> </w:t>
      </w:r>
      <w:r>
        <w:rPr>
          <w:spacing w:val="-4"/>
        </w:rPr>
        <w:t>六）中国证监会规定的其他信息。</w:t>
      </w:r>
    </w:p>
    <w:p w14:paraId="3D011984">
      <w:pPr>
        <w:pStyle w:val="2"/>
        <w:spacing w:before="168" w:line="343" w:lineRule="auto"/>
        <w:ind w:left="23" w:right="93" w:firstLine="616"/>
      </w:pPr>
      <w:r>
        <w:rPr>
          <w:spacing w:val="-1"/>
        </w:rPr>
        <w:t>中国证监会及其派出机构可以根据审慎监管原则，要求证券公</w:t>
      </w:r>
      <w:r>
        <w:t xml:space="preserve"> </w:t>
      </w:r>
      <w:r>
        <w:rPr>
          <w:spacing w:val="-4"/>
        </w:rPr>
        <w:t>司调整相关信息的公开方式。</w:t>
      </w:r>
    </w:p>
    <w:p w14:paraId="289447BA">
      <w:pPr>
        <w:pStyle w:val="2"/>
        <w:spacing w:before="5" w:line="319" w:lineRule="auto"/>
        <w:ind w:right="93" w:firstLine="597"/>
      </w:pPr>
      <w:r>
        <w:rPr>
          <w:rFonts w:ascii="黑体" w:hAnsi="黑体" w:eastAsia="黑体" w:cs="黑体"/>
        </w:rPr>
        <w:t xml:space="preserve">第十八条  </w:t>
      </w:r>
      <w:r>
        <w:t>证券公司为期货公司介绍客户时，应当向客户明示</w:t>
      </w:r>
      <w:r>
        <w:rPr>
          <w:spacing w:val="14"/>
        </w:rPr>
        <w:t xml:space="preserve"> </w:t>
      </w:r>
      <w:r>
        <w:t>其与期货公司的介绍业务委托关系，解释期货交易的方式、流程及</w:t>
      </w:r>
      <w:r>
        <w:rPr>
          <w:spacing w:val="12"/>
        </w:rPr>
        <w:t xml:space="preserve"> </w:t>
      </w:r>
      <w:r>
        <w:t>风险，不得作获利保证、共担风险等承诺，不得虚假宣传，误导客</w:t>
      </w:r>
      <w:r>
        <w:rPr>
          <w:spacing w:val="12"/>
        </w:rPr>
        <w:t xml:space="preserve"> </w:t>
      </w:r>
      <w:r>
        <w:rPr>
          <w:spacing w:val="-9"/>
        </w:rPr>
        <w:t>户。</w:t>
      </w:r>
    </w:p>
    <w:p w14:paraId="07BD1B3C">
      <w:pPr>
        <w:pStyle w:val="2"/>
        <w:spacing w:before="160" w:line="319" w:lineRule="auto"/>
        <w:ind w:left="2" w:firstLine="595"/>
      </w:pPr>
      <w:r>
        <w:rPr>
          <w:rFonts w:ascii="黑体" w:hAnsi="黑体" w:eastAsia="黑体" w:cs="黑体"/>
        </w:rPr>
        <w:t xml:space="preserve">第十九条  </w:t>
      </w:r>
      <w:r>
        <w:t>证券公司应当建立完备的协助开户制度，对客户的</w:t>
      </w:r>
      <w:r>
        <w:rPr>
          <w:spacing w:val="14"/>
        </w:rPr>
        <w:t xml:space="preserve"> </w:t>
      </w:r>
      <w:r>
        <w:rPr>
          <w:spacing w:val="-7"/>
        </w:rPr>
        <w:t>开户资料和身份真实性等进行审查，向客户充分揭示期货交易风险，</w:t>
      </w:r>
      <w:r>
        <w:rPr>
          <w:spacing w:val="13"/>
        </w:rPr>
        <w:t xml:space="preserve"> </w:t>
      </w:r>
      <w:r>
        <w:t>解释期货公司、客户、证券公司三者之间的权利义务关系，告知期</w:t>
      </w:r>
      <w:r>
        <w:rPr>
          <w:spacing w:val="10"/>
        </w:rPr>
        <w:t xml:space="preserve"> </w:t>
      </w:r>
      <w:r>
        <w:rPr>
          <w:spacing w:val="-2"/>
        </w:rPr>
        <w:t>货保证金安全存管要求。</w:t>
      </w:r>
    </w:p>
    <w:p w14:paraId="3736FFBE">
      <w:pPr>
        <w:pStyle w:val="2"/>
        <w:spacing w:before="172" w:line="344" w:lineRule="auto"/>
        <w:ind w:left="39" w:right="93" w:firstLine="561"/>
      </w:pPr>
      <w:r>
        <w:t>证券公司应当及时将客户开户资料提交期货公司，期货公司应</w:t>
      </w:r>
      <w:r>
        <w:rPr>
          <w:spacing w:val="11"/>
        </w:rPr>
        <w:t xml:space="preserve"> </w:t>
      </w:r>
      <w:r>
        <w:rPr>
          <w:spacing w:val="-3"/>
        </w:rPr>
        <w:t>当复核后与客户签订期货经纪合同，办理开户手续。</w:t>
      </w:r>
    </w:p>
    <w:p w14:paraId="61C0EA73">
      <w:pPr>
        <w:pStyle w:val="2"/>
        <w:spacing w:before="1" w:line="310" w:lineRule="auto"/>
        <w:ind w:left="1" w:right="93" w:firstLine="596"/>
      </w:pPr>
      <w:r>
        <w:rPr>
          <w:rFonts w:ascii="黑体" w:hAnsi="黑体" w:eastAsia="黑体" w:cs="黑体"/>
        </w:rPr>
        <w:t xml:space="preserve">第二十条  </w:t>
      </w:r>
      <w:r>
        <w:t>证券公司介绍其控股股东、实际控制人等开户的，</w:t>
      </w:r>
      <w:r>
        <w:rPr>
          <w:spacing w:val="14"/>
        </w:rPr>
        <w:t xml:space="preserve"> </w:t>
      </w:r>
      <w:r>
        <w:rPr>
          <w:spacing w:val="11"/>
        </w:rPr>
        <w:t>证券公司应当将其期货账户信息报所在地中国证监会派出机构备</w:t>
      </w:r>
      <w:r>
        <w:rPr>
          <w:spacing w:val="3"/>
        </w:rPr>
        <w:t xml:space="preserve"> </w:t>
      </w:r>
      <w:r>
        <w:rPr>
          <w:spacing w:val="-1"/>
        </w:rPr>
        <w:t>案，并按照中国证监会的规定履行信息披露义务。</w:t>
      </w:r>
    </w:p>
    <w:p w14:paraId="27F6DEEF">
      <w:pPr>
        <w:pStyle w:val="2"/>
        <w:spacing w:before="167" w:line="293" w:lineRule="auto"/>
        <w:ind w:left="16" w:right="91" w:firstLine="581"/>
      </w:pPr>
      <w:r>
        <w:rPr>
          <w:rFonts w:ascii="黑体" w:hAnsi="黑体" w:eastAsia="黑体" w:cs="黑体"/>
        </w:rPr>
        <w:t xml:space="preserve">第二十一条  </w:t>
      </w:r>
      <w:r>
        <w:t>证券公司不得代客户下达交易指令，不得利用客</w:t>
      </w:r>
      <w:r>
        <w:rPr>
          <w:spacing w:val="17"/>
        </w:rPr>
        <w:t xml:space="preserve"> </w:t>
      </w:r>
      <w:r>
        <w:t>户的交易编码、资金账号或者期货结算账户进行期货交易</w:t>
      </w:r>
      <w:r>
        <w:rPr>
          <w:spacing w:val="-1"/>
        </w:rPr>
        <w:t>，不得代</w:t>
      </w:r>
    </w:p>
    <w:p w14:paraId="09E20319">
      <w:pPr>
        <w:spacing w:line="293" w:lineRule="auto"/>
        <w:sectPr>
          <w:footerReference r:id="rId10" w:type="default"/>
          <w:pgSz w:w="11906" w:h="16839"/>
          <w:pgMar w:top="1431" w:right="1495" w:bottom="1157" w:left="1604" w:header="0" w:footer="992" w:gutter="0"/>
          <w:cols w:space="720" w:num="1"/>
        </w:sectPr>
      </w:pPr>
    </w:p>
    <w:p w14:paraId="09B40A0C">
      <w:pPr>
        <w:spacing w:line="248" w:lineRule="auto"/>
        <w:rPr>
          <w:rFonts w:ascii="Arial"/>
          <w:sz w:val="21"/>
        </w:rPr>
      </w:pPr>
    </w:p>
    <w:p w14:paraId="5F9398DE">
      <w:pPr>
        <w:spacing w:line="249" w:lineRule="auto"/>
        <w:rPr>
          <w:rFonts w:ascii="Arial"/>
          <w:sz w:val="21"/>
        </w:rPr>
      </w:pPr>
    </w:p>
    <w:p w14:paraId="6208CB58">
      <w:pPr>
        <w:spacing w:line="249" w:lineRule="auto"/>
        <w:rPr>
          <w:rFonts w:ascii="Arial"/>
          <w:sz w:val="21"/>
        </w:rPr>
      </w:pPr>
    </w:p>
    <w:p w14:paraId="0C230525">
      <w:pPr>
        <w:pStyle w:val="2"/>
        <w:spacing w:before="97"/>
        <w:ind w:left="5"/>
      </w:pPr>
      <w:r>
        <w:rPr>
          <w:spacing w:val="-2"/>
        </w:rPr>
        <w:t>客户接收、保管或者修改交易密码。</w:t>
      </w:r>
    </w:p>
    <w:p w14:paraId="5D03C1F7">
      <w:pPr>
        <w:pStyle w:val="2"/>
        <w:spacing w:before="165" w:line="294" w:lineRule="auto"/>
        <w:ind w:left="1" w:firstLine="600"/>
      </w:pPr>
      <w:r>
        <w:rPr>
          <w:rFonts w:ascii="黑体" w:hAnsi="黑体" w:eastAsia="黑体" w:cs="黑体"/>
        </w:rPr>
        <w:t xml:space="preserve">第二十二条  </w:t>
      </w:r>
      <w:r>
        <w:t>证券公司不得直接或者间接为客户从事期货交易</w:t>
      </w:r>
      <w:r>
        <w:rPr>
          <w:spacing w:val="17"/>
        </w:rPr>
        <w:t xml:space="preserve"> </w:t>
      </w:r>
      <w:r>
        <w:rPr>
          <w:spacing w:val="-2"/>
        </w:rPr>
        <w:t>提供融资或者担保。</w:t>
      </w:r>
    </w:p>
    <w:p w14:paraId="6D78F2DD">
      <w:pPr>
        <w:pStyle w:val="2"/>
        <w:spacing w:before="168" w:line="311" w:lineRule="auto"/>
        <w:ind w:left="28" w:firstLine="573"/>
      </w:pPr>
      <w:r>
        <w:rPr>
          <w:rFonts w:ascii="黑体" w:hAnsi="黑体" w:eastAsia="黑体" w:cs="黑体"/>
        </w:rPr>
        <w:t xml:space="preserve">第二十三条  </w:t>
      </w:r>
      <w:r>
        <w:t>期货、现货市场行情发生重大变化或者客户可能</w:t>
      </w:r>
      <w:r>
        <w:rPr>
          <w:spacing w:val="17"/>
        </w:rPr>
        <w:t xml:space="preserve"> </w:t>
      </w:r>
      <w:r>
        <w:rPr>
          <w:spacing w:val="-1"/>
        </w:rPr>
        <w:t>出现风险时，证券公司及其营业部可以协助期货公司向客户提示风</w:t>
      </w:r>
      <w:r>
        <w:rPr>
          <w:spacing w:val="16"/>
        </w:rPr>
        <w:t xml:space="preserve"> </w:t>
      </w:r>
      <w:r>
        <w:rPr>
          <w:spacing w:val="-22"/>
        </w:rPr>
        <w:t>险。</w:t>
      </w:r>
    </w:p>
    <w:p w14:paraId="428CFC75">
      <w:pPr>
        <w:pStyle w:val="2"/>
        <w:spacing w:before="160" w:line="294" w:lineRule="auto"/>
        <w:ind w:left="3" w:right="2" w:firstLine="597"/>
      </w:pPr>
      <w:r>
        <w:rPr>
          <w:rFonts w:ascii="黑体" w:hAnsi="黑体" w:eastAsia="黑体" w:cs="黑体"/>
          <w:spacing w:val="11"/>
        </w:rPr>
        <w:t xml:space="preserve">第二十四条  </w:t>
      </w:r>
      <w:r>
        <w:rPr>
          <w:spacing w:val="11"/>
        </w:rPr>
        <w:t>证券公司应当协助维护期货交易系统的稳定运</w:t>
      </w:r>
      <w:r>
        <w:rPr>
          <w:spacing w:val="17"/>
        </w:rPr>
        <w:t xml:space="preserve"> </w:t>
      </w:r>
      <w:r>
        <w:rPr>
          <w:spacing w:val="-1"/>
        </w:rPr>
        <w:t>行，保证期货交易数据传送的安全和独立。</w:t>
      </w:r>
    </w:p>
    <w:p w14:paraId="0841D53F">
      <w:pPr>
        <w:pStyle w:val="2"/>
        <w:spacing w:before="165" w:line="293" w:lineRule="auto"/>
        <w:ind w:left="30" w:firstLine="570"/>
      </w:pPr>
      <w:r>
        <w:rPr>
          <w:rFonts w:ascii="黑体" w:hAnsi="黑体" w:eastAsia="黑体" w:cs="黑体"/>
        </w:rPr>
        <w:t xml:space="preserve">第二十五条  </w:t>
      </w:r>
      <w:r>
        <w:t>证券公司应当在营业场所妥善保存有关介绍业务</w:t>
      </w:r>
      <w:r>
        <w:rPr>
          <w:spacing w:val="17"/>
        </w:rPr>
        <w:t xml:space="preserve"> </w:t>
      </w:r>
      <w:r>
        <w:rPr>
          <w:spacing w:val="-2"/>
        </w:rPr>
        <w:t>的凭证、单据、账簿、报表、合同、数据信息等资料。</w:t>
      </w:r>
    </w:p>
    <w:p w14:paraId="53AD8983">
      <w:pPr>
        <w:pStyle w:val="2"/>
        <w:spacing w:before="173" w:line="238" w:lineRule="auto"/>
        <w:ind w:left="604"/>
      </w:pPr>
      <w:r>
        <w:rPr>
          <w:spacing w:val="-2"/>
        </w:rPr>
        <w:t>证券公司保存上述文件资料的期限不得少于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5 </w:t>
      </w:r>
      <w:r>
        <w:rPr>
          <w:spacing w:val="-2"/>
        </w:rPr>
        <w:t>年。</w:t>
      </w:r>
    </w:p>
    <w:p w14:paraId="7345F450">
      <w:pPr>
        <w:pStyle w:val="2"/>
        <w:spacing w:before="169" w:line="344" w:lineRule="auto"/>
        <w:ind w:left="3" w:firstLine="597"/>
      </w:pPr>
      <w:r>
        <w:rPr>
          <w:rFonts w:ascii="黑体" w:hAnsi="黑体" w:eastAsia="黑体" w:cs="黑体"/>
        </w:rPr>
        <w:t xml:space="preserve">第二十六条  </w:t>
      </w:r>
      <w:r>
        <w:t>证券公司应当建立并有效执行介绍业务的合规检</w:t>
      </w:r>
      <w:r>
        <w:rPr>
          <w:spacing w:val="17"/>
        </w:rPr>
        <w:t xml:space="preserve"> </w:t>
      </w:r>
      <w:r>
        <w:rPr>
          <w:spacing w:val="-5"/>
        </w:rPr>
        <w:t>查制度。</w:t>
      </w:r>
    </w:p>
    <w:p w14:paraId="4BAA92EB">
      <w:pPr>
        <w:pStyle w:val="2"/>
        <w:spacing w:before="7" w:line="343" w:lineRule="auto"/>
        <w:ind w:right="2" w:firstLine="604"/>
        <w:jc w:val="both"/>
      </w:pPr>
      <w:r>
        <w:t>证券公司应当定期对介绍业务规则、内部控制、风险隔离等制</w:t>
      </w:r>
      <w:r>
        <w:rPr>
          <w:spacing w:val="11"/>
        </w:rPr>
        <w:t xml:space="preserve"> </w:t>
      </w:r>
      <w:r>
        <w:t>度的执行情况和营业部介绍业务的开展情况进行检查，每半年向中</w:t>
      </w:r>
      <w:r>
        <w:rPr>
          <w:spacing w:val="15"/>
        </w:rPr>
        <w:t xml:space="preserve"> </w:t>
      </w:r>
      <w:r>
        <w:rPr>
          <w:spacing w:val="-1"/>
        </w:rPr>
        <w:t>国证监会派出机构报送合规检查报告。</w:t>
      </w:r>
    </w:p>
    <w:p w14:paraId="6D69E8E5">
      <w:pPr>
        <w:pStyle w:val="2"/>
        <w:spacing w:before="6" w:line="344" w:lineRule="auto"/>
        <w:ind w:left="4" w:right="2" w:firstLine="600"/>
      </w:pPr>
      <w:r>
        <w:rPr>
          <w:spacing w:val="-3"/>
        </w:rPr>
        <w:t>发生重大事项的，证券公司应当在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 </w:t>
      </w:r>
      <w:r>
        <w:rPr>
          <w:spacing w:val="-3"/>
        </w:rPr>
        <w:t>个工作</w:t>
      </w:r>
      <w:r>
        <w:rPr>
          <w:spacing w:val="-63"/>
        </w:rPr>
        <w:t xml:space="preserve"> </w:t>
      </w:r>
      <w:r>
        <w:rPr>
          <w:spacing w:val="-3"/>
        </w:rPr>
        <w:t>日内向所在地中国</w:t>
      </w:r>
      <w:r>
        <w:t xml:space="preserve"> </w:t>
      </w:r>
      <w:r>
        <w:rPr>
          <w:spacing w:val="-2"/>
        </w:rPr>
        <w:t>证监会派出机构报告。</w:t>
      </w:r>
    </w:p>
    <w:p w14:paraId="1FD0DD46">
      <w:pPr>
        <w:spacing w:line="456" w:lineRule="auto"/>
        <w:rPr>
          <w:rFonts w:ascii="Arial"/>
          <w:sz w:val="21"/>
        </w:rPr>
      </w:pPr>
    </w:p>
    <w:p w14:paraId="2C8B44C9">
      <w:pPr>
        <w:spacing w:before="98" w:line="239" w:lineRule="auto"/>
        <w:ind w:left="316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第四章  监督管理</w:t>
      </w:r>
    </w:p>
    <w:p w14:paraId="23C35C2C">
      <w:pPr>
        <w:spacing w:line="315" w:lineRule="auto"/>
        <w:rPr>
          <w:rFonts w:ascii="Arial"/>
          <w:sz w:val="21"/>
        </w:rPr>
      </w:pPr>
    </w:p>
    <w:p w14:paraId="219F2CE8">
      <w:pPr>
        <w:spacing w:line="316" w:lineRule="auto"/>
        <w:rPr>
          <w:rFonts w:ascii="Arial"/>
          <w:sz w:val="21"/>
        </w:rPr>
      </w:pPr>
    </w:p>
    <w:p w14:paraId="0E39D707">
      <w:pPr>
        <w:pStyle w:val="2"/>
        <w:spacing w:before="98" w:line="395" w:lineRule="exact"/>
        <w:jc w:val="right"/>
      </w:pPr>
      <w:r>
        <w:rPr>
          <w:rFonts w:ascii="黑体" w:hAnsi="黑体" w:eastAsia="黑体" w:cs="黑体"/>
          <w:position w:val="1"/>
        </w:rPr>
        <w:t xml:space="preserve">第二十七条  </w:t>
      </w:r>
      <w:r>
        <w:rPr>
          <w:position w:val="1"/>
        </w:rPr>
        <w:t>中国证监会及其派出机构按照审慎监管原则，对</w:t>
      </w:r>
    </w:p>
    <w:p w14:paraId="5618C593">
      <w:pPr>
        <w:spacing w:line="395" w:lineRule="exact"/>
        <w:sectPr>
          <w:footerReference r:id="rId11" w:type="default"/>
          <w:pgSz w:w="11906" w:h="16839"/>
          <w:pgMar w:top="1431" w:right="1586" w:bottom="1157" w:left="1600" w:header="0" w:footer="992" w:gutter="0"/>
          <w:cols w:space="720" w:num="1"/>
        </w:sectPr>
      </w:pPr>
    </w:p>
    <w:p w14:paraId="2604F16A">
      <w:pPr>
        <w:spacing w:line="248" w:lineRule="auto"/>
        <w:rPr>
          <w:rFonts w:ascii="Arial"/>
          <w:sz w:val="21"/>
        </w:rPr>
      </w:pPr>
    </w:p>
    <w:p w14:paraId="2F46CD88">
      <w:pPr>
        <w:spacing w:line="249" w:lineRule="auto"/>
        <w:rPr>
          <w:rFonts w:ascii="Arial"/>
          <w:sz w:val="21"/>
        </w:rPr>
      </w:pPr>
    </w:p>
    <w:p w14:paraId="6379C456">
      <w:pPr>
        <w:spacing w:line="249" w:lineRule="auto"/>
        <w:rPr>
          <w:rFonts w:ascii="Arial"/>
          <w:sz w:val="21"/>
        </w:rPr>
      </w:pPr>
    </w:p>
    <w:p w14:paraId="510E7F29">
      <w:pPr>
        <w:pStyle w:val="2"/>
        <w:spacing w:before="98" w:line="239" w:lineRule="auto"/>
        <w:ind w:left="2"/>
      </w:pPr>
      <w:r>
        <w:rPr>
          <w:spacing w:val="-1"/>
        </w:rPr>
        <w:t>证券公司从事的介绍业务进行现场检查和非现场检查。</w:t>
      </w:r>
    </w:p>
    <w:p w14:paraId="211F07F5">
      <w:pPr>
        <w:pStyle w:val="2"/>
        <w:spacing w:before="168" w:line="293" w:lineRule="auto"/>
        <w:ind w:left="5" w:right="109" w:firstLine="593"/>
      </w:pPr>
      <w:r>
        <w:rPr>
          <w:rFonts w:ascii="黑体" w:hAnsi="黑体" w:eastAsia="黑体" w:cs="黑体"/>
        </w:rPr>
        <w:t xml:space="preserve">第二十八条  </w:t>
      </w:r>
      <w:r>
        <w:t>证券公司应当按照中国证监会的规定披露介绍业</w:t>
      </w:r>
      <w:r>
        <w:rPr>
          <w:spacing w:val="17"/>
        </w:rPr>
        <w:t xml:space="preserve"> </w:t>
      </w:r>
      <w:r>
        <w:rPr>
          <w:spacing w:val="-1"/>
        </w:rPr>
        <w:t>务的相关信息，报送介绍业务的相关文件、资料及数据信息。</w:t>
      </w:r>
    </w:p>
    <w:p w14:paraId="4611C19C">
      <w:pPr>
        <w:pStyle w:val="2"/>
        <w:spacing w:before="169" w:line="310" w:lineRule="auto"/>
        <w:ind w:left="1" w:firstLine="597"/>
      </w:pPr>
      <w:r>
        <w:rPr>
          <w:rFonts w:ascii="黑体" w:hAnsi="黑体" w:eastAsia="黑体" w:cs="黑体"/>
        </w:rPr>
        <w:t xml:space="preserve">第二十九条  </w:t>
      </w:r>
      <w:r>
        <w:t>证券公司取得介绍业务资格后不符合本办法第五</w:t>
      </w:r>
      <w:r>
        <w:rPr>
          <w:spacing w:val="17"/>
        </w:rPr>
        <w:t xml:space="preserve"> </w:t>
      </w:r>
      <w:r>
        <w:rPr>
          <w:spacing w:val="-6"/>
        </w:rPr>
        <w:t>条、第六条规定条件的，中国证监会及其派出机构责令其限期整改；</w:t>
      </w:r>
      <w:r>
        <w:rPr>
          <w:spacing w:val="4"/>
        </w:rPr>
        <w:t xml:space="preserve"> </w:t>
      </w:r>
      <w:r>
        <w:rPr>
          <w:spacing w:val="-6"/>
        </w:rPr>
        <w:t>经限期整改仍不符合条件的，中国证监会依法撤销其介绍业务资格。</w:t>
      </w:r>
    </w:p>
    <w:p w14:paraId="72C8F6E6">
      <w:pPr>
        <w:pStyle w:val="2"/>
        <w:spacing w:before="162" w:line="325" w:lineRule="auto"/>
        <w:ind w:right="112" w:firstLine="598"/>
      </w:pPr>
      <w:r>
        <w:rPr>
          <w:rFonts w:ascii="黑体" w:hAnsi="黑体" w:eastAsia="黑体" w:cs="黑体"/>
        </w:rPr>
        <w:t xml:space="preserve">第三十条  </w:t>
      </w:r>
      <w:r>
        <w:t>证券公司违反本办法第三章业务规则的，中国证监</w:t>
      </w:r>
      <w:r>
        <w:rPr>
          <w:spacing w:val="14"/>
        </w:rPr>
        <w:t xml:space="preserve"> </w:t>
      </w:r>
      <w:r>
        <w:t>会及其派出机构可以采取责令限期整改、监管谈话、出具警示函等</w:t>
      </w:r>
      <w:r>
        <w:rPr>
          <w:spacing w:val="13"/>
        </w:rPr>
        <w:t xml:space="preserve"> </w:t>
      </w:r>
      <w:r>
        <w:t>监管措施；逾期未改正，其行为可能危及期货公司的稳健运行、损</w:t>
      </w:r>
      <w:r>
        <w:rPr>
          <w:spacing w:val="13"/>
        </w:rPr>
        <w:t xml:space="preserve"> </w:t>
      </w:r>
      <w:r>
        <w:t>害客户合法权益的，中国证监会可以责令期货公司终止与该证券公</w:t>
      </w:r>
      <w:r>
        <w:rPr>
          <w:spacing w:val="13"/>
        </w:rPr>
        <w:t xml:space="preserve"> </w:t>
      </w:r>
      <w:r>
        <w:rPr>
          <w:spacing w:val="-2"/>
        </w:rPr>
        <w:t>司的介绍业务关系。</w:t>
      </w:r>
    </w:p>
    <w:p w14:paraId="1B5289D4">
      <w:pPr>
        <w:pStyle w:val="2"/>
        <w:spacing w:before="164" w:line="311" w:lineRule="auto"/>
        <w:ind w:left="1" w:right="109" w:firstLine="597"/>
      </w:pPr>
      <w:r>
        <w:rPr>
          <w:rFonts w:ascii="黑体" w:hAnsi="黑体" w:eastAsia="黑体" w:cs="黑体"/>
        </w:rPr>
        <w:t xml:space="preserve">第三十一条  </w:t>
      </w:r>
      <w:r>
        <w:t>证券公司因其他业务涉嫌违法违规或者出现重大</w:t>
      </w:r>
      <w:r>
        <w:rPr>
          <w:spacing w:val="17"/>
        </w:rPr>
        <w:t xml:space="preserve"> </w:t>
      </w:r>
      <w:r>
        <w:t>风险被暂停、限制业务或者撤销业务资格的，中国证监会可以责令</w:t>
      </w:r>
      <w:r>
        <w:rPr>
          <w:spacing w:val="12"/>
        </w:rPr>
        <w:t xml:space="preserve"> </w:t>
      </w:r>
      <w:r>
        <w:rPr>
          <w:spacing w:val="-1"/>
        </w:rPr>
        <w:t>期货公司终止与该证券公司的介绍业务关系。</w:t>
      </w:r>
    </w:p>
    <w:p w14:paraId="7930EE69">
      <w:pPr>
        <w:pStyle w:val="2"/>
        <w:spacing w:before="163" w:line="293" w:lineRule="auto"/>
        <w:ind w:right="109" w:firstLine="598"/>
      </w:pPr>
      <w:r>
        <w:rPr>
          <w:rFonts w:ascii="黑体" w:hAnsi="黑体" w:eastAsia="黑体" w:cs="黑体"/>
        </w:rPr>
        <w:t xml:space="preserve">第三十二条  </w:t>
      </w:r>
      <w:r>
        <w:t>证券公司有下列行为之一的，按照《期货交易管</w:t>
      </w:r>
      <w:r>
        <w:rPr>
          <w:spacing w:val="17"/>
        </w:rPr>
        <w:t xml:space="preserve"> </w:t>
      </w:r>
      <w:r>
        <w:rPr>
          <w:spacing w:val="-2"/>
        </w:rPr>
        <w:t>理条例》第七十条进行处罚：</w:t>
      </w:r>
    </w:p>
    <w:p w14:paraId="3765FD7F">
      <w:pPr>
        <w:pStyle w:val="2"/>
        <w:spacing w:before="173" w:line="241" w:lineRule="auto"/>
        <w:ind w:left="575"/>
      </w:pPr>
      <w:r>
        <w:rPr>
          <w:spacing w:val="-5"/>
        </w:rPr>
        <w:t>（</w:t>
      </w:r>
      <w:r>
        <w:rPr>
          <w:spacing w:val="-64"/>
        </w:rPr>
        <w:t xml:space="preserve"> </w:t>
      </w:r>
      <w:r>
        <w:rPr>
          <w:spacing w:val="-5"/>
        </w:rPr>
        <w:t>一）未经许可擅自开展介绍业务；</w:t>
      </w:r>
    </w:p>
    <w:p w14:paraId="75E96A01">
      <w:pPr>
        <w:pStyle w:val="2"/>
        <w:spacing w:before="166" w:line="293" w:lineRule="auto"/>
        <w:ind w:left="3" w:right="112" w:firstLine="572"/>
      </w:pPr>
      <w:r>
        <w:rPr>
          <w:spacing w:val="-1"/>
        </w:rPr>
        <w:t>（</w:t>
      </w:r>
      <w:r>
        <w:rPr>
          <w:spacing w:val="-80"/>
        </w:rPr>
        <w:t xml:space="preserve"> </w:t>
      </w:r>
      <w:r>
        <w:rPr>
          <w:spacing w:val="-1"/>
        </w:rPr>
        <w:t>二）对客户未充分揭示期货交易风险，进行虚</w:t>
      </w:r>
      <w:r>
        <w:rPr>
          <w:spacing w:val="-2"/>
        </w:rPr>
        <w:t>假宣传，误导</w:t>
      </w:r>
      <w:r>
        <w:t xml:space="preserve"> </w:t>
      </w:r>
      <w:r>
        <w:rPr>
          <w:spacing w:val="-7"/>
        </w:rPr>
        <w:t>客户；</w:t>
      </w:r>
    </w:p>
    <w:p w14:paraId="5D944116">
      <w:pPr>
        <w:pStyle w:val="2"/>
        <w:spacing w:before="169"/>
        <w:ind w:left="575"/>
      </w:pPr>
      <w:r>
        <w:rPr>
          <w:spacing w:val="-4"/>
        </w:rPr>
        <w:t>（</w:t>
      </w:r>
      <w:r>
        <w:rPr>
          <w:spacing w:val="-60"/>
        </w:rPr>
        <w:t xml:space="preserve"> </w:t>
      </w:r>
      <w:r>
        <w:rPr>
          <w:spacing w:val="-4"/>
        </w:rPr>
        <w:t>三）代理客户进行期货交易、结算或者交割；</w:t>
      </w:r>
    </w:p>
    <w:p w14:paraId="56C8C397">
      <w:pPr>
        <w:pStyle w:val="2"/>
        <w:spacing w:before="171" w:line="237" w:lineRule="auto"/>
        <w:ind w:left="575"/>
      </w:pPr>
      <w:r>
        <w:rPr>
          <w:spacing w:val="-5"/>
        </w:rPr>
        <w:t>（</w:t>
      </w:r>
      <w:r>
        <w:rPr>
          <w:spacing w:val="-54"/>
        </w:rPr>
        <w:t xml:space="preserve"> </w:t>
      </w:r>
      <w:r>
        <w:rPr>
          <w:spacing w:val="-5"/>
        </w:rPr>
        <w:t>四）收付、存取或者划转期货保证金；</w:t>
      </w:r>
    </w:p>
    <w:p w14:paraId="7E63544A">
      <w:pPr>
        <w:pStyle w:val="2"/>
        <w:spacing w:before="172"/>
        <w:ind w:left="575"/>
      </w:pPr>
      <w:r>
        <w:rPr>
          <w:spacing w:val="-3"/>
        </w:rPr>
        <w:t>（</w:t>
      </w:r>
      <w:r>
        <w:rPr>
          <w:spacing w:val="-81"/>
        </w:rPr>
        <w:t xml:space="preserve"> </w:t>
      </w:r>
      <w:r>
        <w:rPr>
          <w:spacing w:val="-3"/>
        </w:rPr>
        <w:t>五）为客户从事期货交易提供融资或者担保；</w:t>
      </w:r>
    </w:p>
    <w:p w14:paraId="41D2EC0C">
      <w:pPr>
        <w:sectPr>
          <w:footerReference r:id="rId12" w:type="default"/>
          <w:pgSz w:w="11906" w:h="16839"/>
          <w:pgMar w:top="1431" w:right="1476" w:bottom="1157" w:left="1602" w:header="0" w:footer="992" w:gutter="0"/>
          <w:cols w:space="720" w:num="1"/>
        </w:sectPr>
      </w:pPr>
    </w:p>
    <w:p w14:paraId="25D76EDA">
      <w:pPr>
        <w:spacing w:line="248" w:lineRule="auto"/>
        <w:rPr>
          <w:rFonts w:ascii="Arial"/>
          <w:sz w:val="21"/>
        </w:rPr>
      </w:pPr>
    </w:p>
    <w:p w14:paraId="1E1B97C5">
      <w:pPr>
        <w:spacing w:line="249" w:lineRule="auto"/>
        <w:rPr>
          <w:rFonts w:ascii="Arial"/>
          <w:sz w:val="21"/>
        </w:rPr>
      </w:pPr>
    </w:p>
    <w:p w14:paraId="5FA8A65A">
      <w:pPr>
        <w:spacing w:line="249" w:lineRule="auto"/>
        <w:rPr>
          <w:rFonts w:ascii="Arial"/>
          <w:sz w:val="21"/>
        </w:rPr>
      </w:pPr>
    </w:p>
    <w:p w14:paraId="126FF6D0">
      <w:pPr>
        <w:pStyle w:val="2"/>
        <w:spacing w:before="98" w:line="239" w:lineRule="auto"/>
        <w:ind w:left="566"/>
      </w:pPr>
      <w:r>
        <w:rPr>
          <w:spacing w:val="-3"/>
        </w:rPr>
        <w:t>（</w:t>
      </w:r>
      <w:r>
        <w:rPr>
          <w:spacing w:val="-75"/>
        </w:rPr>
        <w:t xml:space="preserve"> </w:t>
      </w:r>
      <w:r>
        <w:rPr>
          <w:spacing w:val="-3"/>
        </w:rPr>
        <w:t>六）未按规定审查客户的开户资料和身份真实性；</w:t>
      </w:r>
    </w:p>
    <w:p w14:paraId="3462EB53">
      <w:pPr>
        <w:pStyle w:val="2"/>
        <w:spacing w:before="173" w:line="241" w:lineRule="auto"/>
        <w:ind w:left="566"/>
      </w:pPr>
      <w:r>
        <w:rPr>
          <w:spacing w:val="-5"/>
        </w:rPr>
        <w:t>（</w:t>
      </w:r>
      <w:r>
        <w:rPr>
          <w:spacing w:val="-79"/>
        </w:rPr>
        <w:t xml:space="preserve"> </w:t>
      </w:r>
      <w:r>
        <w:rPr>
          <w:spacing w:val="-5"/>
        </w:rPr>
        <w:t>七）代客户下达交易指令；</w:t>
      </w:r>
    </w:p>
    <w:p w14:paraId="140C580C">
      <w:pPr>
        <w:pStyle w:val="2"/>
        <w:spacing w:before="166" w:line="293" w:lineRule="auto"/>
        <w:ind w:firstLine="566"/>
      </w:pPr>
      <w:r>
        <w:rPr>
          <w:spacing w:val="1"/>
        </w:rPr>
        <w:t>（八）利用客户的交易编码、资金账号或者期货结算账户进行</w:t>
      </w:r>
      <w:r>
        <w:rPr>
          <w:spacing w:val="10"/>
        </w:rPr>
        <w:t xml:space="preserve"> </w:t>
      </w:r>
      <w:r>
        <w:rPr>
          <w:spacing w:val="-6"/>
        </w:rPr>
        <w:t>期货交易；</w:t>
      </w:r>
    </w:p>
    <w:p w14:paraId="5F40E1F1">
      <w:pPr>
        <w:pStyle w:val="2"/>
        <w:spacing w:before="170"/>
        <w:ind w:left="566"/>
      </w:pPr>
      <w:r>
        <w:t>（九）未将介绍业务与其他经营业务分开或者有效隔离；</w:t>
      </w:r>
    </w:p>
    <w:p w14:paraId="1505150B">
      <w:pPr>
        <w:pStyle w:val="2"/>
        <w:spacing w:before="169"/>
        <w:ind w:left="566"/>
      </w:pPr>
      <w:r>
        <w:rPr>
          <w:spacing w:val="-3"/>
        </w:rPr>
        <w:t>（</w:t>
      </w:r>
      <w:r>
        <w:rPr>
          <w:spacing w:val="-69"/>
        </w:rPr>
        <w:t xml:space="preserve"> </w:t>
      </w:r>
      <w:r>
        <w:rPr>
          <w:spacing w:val="-3"/>
        </w:rPr>
        <w:t>十）未将财务、人员、经营场所与期货公司分开隔离；</w:t>
      </w:r>
    </w:p>
    <w:p w14:paraId="0983BF88">
      <w:pPr>
        <w:pStyle w:val="2"/>
        <w:spacing w:before="168"/>
        <w:ind w:right="31"/>
        <w:jc w:val="right"/>
      </w:pPr>
      <w:r>
        <w:rPr>
          <w:spacing w:val="-2"/>
        </w:rPr>
        <w:t>（</w:t>
      </w:r>
      <w:r>
        <w:rPr>
          <w:spacing w:val="-85"/>
        </w:rPr>
        <w:t xml:space="preserve"> </w:t>
      </w:r>
      <w:r>
        <w:rPr>
          <w:spacing w:val="-2"/>
        </w:rPr>
        <w:t>十一）拒绝、阻碍中国证监会及其派出机构依法</w:t>
      </w:r>
      <w:r>
        <w:rPr>
          <w:spacing w:val="-3"/>
        </w:rPr>
        <w:t>履行职责。</w:t>
      </w:r>
    </w:p>
    <w:p w14:paraId="023C98AC">
      <w:pPr>
        <w:spacing w:line="313" w:lineRule="auto"/>
        <w:rPr>
          <w:rFonts w:ascii="Arial"/>
          <w:sz w:val="21"/>
        </w:rPr>
      </w:pPr>
    </w:p>
    <w:p w14:paraId="06F89965">
      <w:pPr>
        <w:spacing w:line="314" w:lineRule="auto"/>
        <w:rPr>
          <w:rFonts w:ascii="Arial"/>
          <w:sz w:val="21"/>
        </w:rPr>
      </w:pPr>
    </w:p>
    <w:p w14:paraId="5E57C797">
      <w:pPr>
        <w:spacing w:before="97" w:line="239" w:lineRule="auto"/>
        <w:ind w:left="345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第五章</w:t>
      </w:r>
      <w:r>
        <w:rPr>
          <w:rFonts w:ascii="黑体" w:hAnsi="黑体" w:eastAsia="黑体" w:cs="黑体"/>
          <w:spacing w:val="16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10"/>
          <w:sz w:val="30"/>
          <w:szCs w:val="30"/>
        </w:rPr>
        <w:t>附则</w:t>
      </w:r>
    </w:p>
    <w:p w14:paraId="6CF19048">
      <w:pPr>
        <w:spacing w:line="313" w:lineRule="auto"/>
        <w:rPr>
          <w:rFonts w:ascii="Arial"/>
          <w:sz w:val="21"/>
        </w:rPr>
      </w:pPr>
    </w:p>
    <w:p w14:paraId="2B317B11">
      <w:pPr>
        <w:spacing w:line="314" w:lineRule="auto"/>
        <w:rPr>
          <w:rFonts w:ascii="Arial"/>
          <w:sz w:val="21"/>
        </w:rPr>
      </w:pPr>
    </w:p>
    <w:p w14:paraId="264E0CD5">
      <w:pPr>
        <w:pStyle w:val="2"/>
        <w:spacing w:before="98" w:line="394" w:lineRule="exact"/>
        <w:ind w:left="589"/>
      </w:pPr>
      <w:r>
        <w:rPr>
          <w:rFonts w:ascii="黑体" w:hAnsi="黑体" w:eastAsia="黑体" w:cs="黑体"/>
          <w:spacing w:val="-1"/>
          <w:position w:val="1"/>
        </w:rPr>
        <w:t xml:space="preserve">第三十三条  </w:t>
      </w:r>
      <w:r>
        <w:rPr>
          <w:spacing w:val="-1"/>
          <w:position w:val="1"/>
        </w:rPr>
        <w:t>本办法自发布之日起施行。</w:t>
      </w:r>
    </w:p>
    <w:p w14:paraId="3A44E06E">
      <w:pPr>
        <w:spacing w:line="394" w:lineRule="exact"/>
        <w:sectPr>
          <w:footerReference r:id="rId13" w:type="default"/>
          <w:pgSz w:w="11906" w:h="16839"/>
          <w:pgMar w:top="1431" w:right="1588" w:bottom="1157" w:left="1612" w:header="0" w:footer="992" w:gutter="0"/>
          <w:cols w:space="720" w:num="1"/>
        </w:sectPr>
      </w:pPr>
    </w:p>
    <w:p w14:paraId="6DDA8C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B8680">
    <w:pPr>
      <w:spacing w:line="169" w:lineRule="auto"/>
      <w:ind w:left="4245"/>
      <w:rPr>
        <w:rFonts w:hint="eastAsia" w:ascii="Calibri" w:hAnsi="Calibri" w:eastAsia="宋体" w:cs="Calibri"/>
        <w:sz w:val="18"/>
        <w:szCs w:val="18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6E23B">
    <w:pPr>
      <w:spacing w:line="169" w:lineRule="auto"/>
      <w:ind w:left="4224"/>
      <w:rPr>
        <w:rFonts w:ascii="Calibri" w:hAnsi="Calibri" w:eastAsia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A60DD">
    <w:pPr>
      <w:spacing w:line="169" w:lineRule="auto"/>
      <w:ind w:left="4221"/>
      <w:rPr>
        <w:rFonts w:ascii="Calibri" w:hAnsi="Calibri" w:eastAsia="Calibri" w:cs="Calibri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06AC8">
    <w:pPr>
      <w:spacing w:line="169" w:lineRule="auto"/>
      <w:ind w:left="4222"/>
      <w:rPr>
        <w:rFonts w:ascii="Calibri" w:hAnsi="Calibri" w:eastAsia="Calibri" w:cs="Calibri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DD0B5">
    <w:pPr>
      <w:spacing w:line="169" w:lineRule="auto"/>
      <w:ind w:left="4221"/>
      <w:rPr>
        <w:rFonts w:ascii="Calibri" w:hAnsi="Calibri" w:eastAsia="Calibri" w:cs="Calibri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899AE">
    <w:pPr>
      <w:spacing w:line="169" w:lineRule="auto"/>
      <w:ind w:left="4219"/>
      <w:rPr>
        <w:rFonts w:ascii="Calibri" w:hAnsi="Calibri" w:eastAsia="Calibri" w:cs="Calibri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884D7">
    <w:pPr>
      <w:spacing w:line="169" w:lineRule="auto"/>
      <w:ind w:left="4223"/>
      <w:rPr>
        <w:rFonts w:ascii="Calibri" w:hAnsi="Calibri" w:eastAsia="Calibri" w:cs="Calibri"/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42804">
    <w:pPr>
      <w:spacing w:line="169" w:lineRule="auto"/>
      <w:ind w:left="4221"/>
      <w:rPr>
        <w:rFonts w:ascii="Calibri" w:hAnsi="Calibri" w:eastAsia="Calibri" w:cs="Calibri"/>
        <w:sz w:val="18"/>
        <w:szCs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53EFC">
    <w:pPr>
      <w:spacing w:line="169" w:lineRule="auto"/>
      <w:ind w:left="4211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E0716"/>
    <w:rsid w:val="5D1E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2025-04-03T01:15:00Z</dcterms:created>
  <dc:creator>周生萍</dc:creator>
  <cp:lastModifiedBy>周生萍</cp:lastModifiedBy>
  <dcterms:modified xsi:type="dcterms:W3CDTF">2025-04-03T01:18:00Z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197CBE093A164736A3BCD4E313E11D9F_11</vt:lpwstr>
  </property>
  <property fmtid="{D5CDD505-2E9C-101B-9397-08002B2CF9AE}" pid="4" name="KSOTemplateDocerSaveRecord">
    <vt:lpwstr>eyJoZGlkIjoiY2QxOTAzYWMzOGUwNzJiNmIzYzI0YjNmNzkzY2QyMjciLCJ1c2VySWQiOiIyNzgzNTMxMjgifQ==</vt:lpwstr>
  </property>
</Properties>
</file>